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rPr>
          <w:rFonts w:hint="eastAsia"/>
        </w:rPr>
      </w:pPr>
      <w:r>
        <w:rPr>
          <w:rStyle w:val="22"/>
          <w:rFonts w:hint="eastAsia"/>
          <w:lang w:val="en-US" w:eastAsia="zh-CN"/>
        </w:rPr>
        <w:pict>
          <v:shape id="_x0000_s1026" o:spid="_x0000_s1026" o:spt="75" type="#_x0000_t75" style="position:absolute;left:0pt;margin-left:-20.1pt;margin-top:1.65pt;height:64.8pt;width:167.4pt;mso-wrap-distance-bottom:0pt;mso-wrap-distance-top:0pt;z-index:251665408;mso-width-relative:page;mso-height-relative:page;" o:ole="t" filled="f" o:preferrelative="t" stroked="f" coordsize="21600,21600">
            <v:path/>
            <v:fill on="f" focussize="0,0"/>
            <v:stroke on="f"/>
            <v:imagedata r:id="rId17" o:title=""/>
            <o:lock v:ext="edit" aspectratio="f"/>
            <w10:wrap type="topAndBottom"/>
          </v:shape>
          <o:OLEObject Type="Embed" ProgID="Picture.PicObj.1" ShapeID="_x0000_s1026" DrawAspect="Content" ObjectID="_1468075728" r:id="rId16">
            <o:LockedField>false</o:LockedField>
          </o:OLEObject>
        </w:pi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Style w:val="22"/>
          <w:rFonts w:hint="eastAsia" w:ascii="黑体" w:hAnsi="黑体" w:eastAsia="黑体" w:cs="黑体"/>
          <w:b w:val="0"/>
          <w:bCs/>
          <w:sz w:val="72"/>
          <w:szCs w:val="72"/>
          <w:lang w:val="en-US" w:eastAsia="zh-CN"/>
        </w:rPr>
      </w:pPr>
      <w:bookmarkStart w:id="0" w:name="_Toc2814"/>
      <w:bookmarkStart w:id="1" w:name="_Toc30974"/>
      <w:bookmarkStart w:id="2" w:name="_Toc19576"/>
      <w:bookmarkStart w:id="3" w:name="_Toc18247"/>
      <w:bookmarkStart w:id="4" w:name="_Toc11769"/>
      <w:bookmarkStart w:id="5" w:name="_Toc25143"/>
      <w:bookmarkStart w:id="6" w:name="_Toc25558"/>
      <w:bookmarkStart w:id="7" w:name="_Toc4545"/>
      <w:r>
        <w:rPr>
          <w:rStyle w:val="22"/>
          <w:rFonts w:hint="eastAsia" w:ascii="黑体" w:hAnsi="黑体" w:eastAsia="黑体" w:cs="黑体"/>
          <w:b w:val="0"/>
          <w:bCs/>
          <w:sz w:val="72"/>
          <w:szCs w:val="72"/>
          <w:lang w:val="en-US" w:eastAsia="zh-CN"/>
        </w:rPr>
        <w:t>戚墅堰所质量信用报告</w:t>
      </w:r>
    </w:p>
    <w:bookmarkEnd w:id="0"/>
    <w:p>
      <w:pPr>
        <w:jc w:val="center"/>
        <w:rPr>
          <w:rStyle w:val="22"/>
          <w:rFonts w:hint="eastAsia" w:ascii="黑体" w:hAnsi="黑体" w:eastAsia="黑体" w:cs="黑体"/>
          <w:b w:val="0"/>
          <w:bCs/>
          <w:sz w:val="72"/>
          <w:szCs w:val="72"/>
          <w:lang w:val="en-US" w:eastAsia="zh-CN"/>
        </w:rPr>
      </w:pPr>
    </w:p>
    <w:p>
      <w:pPr>
        <w:jc w:val="center"/>
        <w:rPr>
          <w:rStyle w:val="22"/>
          <w:rFonts w:hint="eastAsia" w:ascii="黑体" w:hAnsi="黑体" w:eastAsia="黑体" w:cs="黑体"/>
          <w:b w:val="0"/>
          <w:bCs/>
          <w:sz w:val="72"/>
          <w:szCs w:val="72"/>
          <w:lang w:val="en-US" w:eastAsia="zh-CN"/>
        </w:rPr>
      </w:pPr>
    </w:p>
    <w:p>
      <w:pPr>
        <w:jc w:val="center"/>
        <w:rPr>
          <w:rStyle w:val="22"/>
          <w:rFonts w:hint="eastAsia" w:ascii="黑体" w:hAnsi="黑体" w:eastAsia="黑体" w:cs="黑体"/>
          <w:b w:val="0"/>
          <w:bCs/>
          <w:sz w:val="72"/>
          <w:szCs w:val="72"/>
          <w:lang w:val="en-US" w:eastAsia="zh-CN"/>
        </w:rPr>
      </w:pPr>
    </w:p>
    <w:p>
      <w:pPr>
        <w:jc w:val="center"/>
        <w:rPr>
          <w:rStyle w:val="22"/>
          <w:rFonts w:hint="eastAsia" w:ascii="黑体" w:hAnsi="黑体" w:eastAsia="黑体" w:cs="黑体"/>
          <w:b w:val="0"/>
          <w:bCs/>
          <w:sz w:val="72"/>
          <w:szCs w:val="72"/>
          <w:lang w:val="en-US" w:eastAsia="zh-CN"/>
        </w:rPr>
      </w:pPr>
    </w:p>
    <w:p>
      <w:pPr>
        <w:jc w:val="center"/>
        <w:rPr>
          <w:rStyle w:val="22"/>
          <w:rFonts w:hint="eastAsia" w:ascii="黑体" w:hAnsi="黑体" w:eastAsia="黑体" w:cs="黑体"/>
          <w:b w:val="0"/>
          <w:bCs/>
          <w:sz w:val="72"/>
          <w:szCs w:val="72"/>
          <w:lang w:val="en-US" w:eastAsia="zh-CN"/>
        </w:rPr>
      </w:pPr>
    </w:p>
    <w:p>
      <w:pPr>
        <w:jc w:val="center"/>
        <w:rPr>
          <w:rStyle w:val="22"/>
          <w:rFonts w:hint="eastAsia" w:ascii="黑体" w:hAnsi="黑体" w:eastAsia="黑体" w:cs="黑体"/>
          <w:b w:val="0"/>
          <w:bCs/>
          <w:sz w:val="72"/>
          <w:szCs w:val="72"/>
          <w:lang w:val="en-US" w:eastAsia="zh-CN"/>
        </w:rPr>
      </w:pPr>
    </w:p>
    <w:p>
      <w:pPr>
        <w:adjustRightInd w:val="0"/>
        <w:snapToGrid w:val="0"/>
        <w:ind w:firstLine="640" w:firstLineChars="200"/>
        <w:jc w:val="center"/>
        <w:rPr>
          <w:rFonts w:ascii="黑体" w:hAnsi="黑体" w:eastAsia="黑体" w:cs="黑体"/>
          <w:bCs/>
          <w:sz w:val="32"/>
          <w:szCs w:val="32"/>
        </w:rPr>
      </w:pPr>
      <w:r>
        <w:rPr>
          <w:rFonts w:hint="eastAsia" w:ascii="黑体" w:hAnsi="黑体" w:eastAsia="黑体" w:cs="黑体"/>
          <w:bCs/>
          <w:sz w:val="32"/>
          <w:szCs w:val="32"/>
        </w:rPr>
        <w:t>中车戚墅堰机车车辆工艺研究所有限公司</w:t>
      </w:r>
    </w:p>
    <w:p>
      <w:pPr>
        <w:widowControl/>
        <w:adjustRightInd w:val="0"/>
        <w:snapToGrid w:val="0"/>
        <w:spacing w:before="156" w:beforeLines="50" w:after="156" w:afterLines="50"/>
        <w:ind w:firstLine="640" w:firstLineChars="200"/>
        <w:jc w:val="center"/>
        <w:rPr>
          <w:rFonts w:ascii="仿宋_GB2312" w:hAnsi="仿宋_GB2312" w:eastAsia="仿宋_GB2312" w:cs="仿宋_GB2312"/>
          <w:b/>
          <w:sz w:val="30"/>
          <w:szCs w:val="30"/>
        </w:rPr>
      </w:pPr>
      <w:r>
        <w:rPr>
          <w:rFonts w:hint="eastAsia" w:ascii="黑体" w:hAnsi="黑体" w:eastAsia="黑体" w:cs="黑体"/>
          <w:bCs/>
          <w:sz w:val="32"/>
          <w:szCs w:val="32"/>
        </w:rPr>
        <w:t>二O二</w:t>
      </w:r>
      <w:r>
        <w:rPr>
          <w:rFonts w:hint="eastAsia" w:ascii="黑体" w:hAnsi="黑体" w:eastAsia="黑体" w:cs="黑体"/>
          <w:bCs/>
          <w:sz w:val="32"/>
          <w:szCs w:val="32"/>
          <w:lang w:val="en-US" w:eastAsia="zh-CN"/>
        </w:rPr>
        <w:t>0</w:t>
      </w:r>
      <w:r>
        <w:rPr>
          <w:rFonts w:hint="eastAsia" w:ascii="黑体" w:hAnsi="黑体" w:eastAsia="黑体" w:cs="黑体"/>
          <w:bCs/>
          <w:sz w:val="32"/>
          <w:szCs w:val="32"/>
        </w:rPr>
        <w:t>年</w:t>
      </w:r>
      <w:r>
        <w:rPr>
          <w:rFonts w:hint="eastAsia" w:ascii="黑体" w:hAnsi="黑体" w:eastAsia="黑体" w:cs="黑体"/>
          <w:bCs/>
          <w:sz w:val="32"/>
          <w:szCs w:val="32"/>
          <w:lang w:eastAsia="zh-CN"/>
        </w:rPr>
        <w:t>十二</w:t>
      </w:r>
      <w:r>
        <w:rPr>
          <w:rFonts w:hint="eastAsia" w:ascii="黑体" w:hAnsi="黑体" w:eastAsia="黑体" w:cs="黑体"/>
          <w:bCs/>
          <w:sz w:val="32"/>
          <w:szCs w:val="32"/>
        </w:rPr>
        <w:t>月</w:t>
      </w:r>
      <w:bookmarkStart w:id="8" w:name="_Toc73536190"/>
      <w:bookmarkStart w:id="9" w:name="_Toc12810"/>
      <w:bookmarkStart w:id="10" w:name="_Toc73539258"/>
      <w:bookmarkStart w:id="11" w:name="_Toc8725"/>
      <w:bookmarkStart w:id="12" w:name="_Toc12947"/>
      <w:bookmarkStart w:id="13" w:name="_Toc73113585"/>
      <w:bookmarkStart w:id="14" w:name="_Toc8925"/>
      <w:bookmarkStart w:id="15" w:name="_Toc73089456"/>
    </w:p>
    <w:bookmarkEnd w:id="8"/>
    <w:bookmarkEnd w:id="9"/>
    <w:bookmarkEnd w:id="10"/>
    <w:bookmarkEnd w:id="11"/>
    <w:bookmarkEnd w:id="12"/>
    <w:bookmarkEnd w:id="13"/>
    <w:bookmarkEnd w:id="14"/>
    <w:bookmarkEnd w:id="15"/>
    <w:p>
      <w:pPr>
        <w:jc w:val="center"/>
        <w:rPr>
          <w:rStyle w:val="22"/>
          <w:rFonts w:hint="eastAsia" w:ascii="黑体" w:hAnsi="黑体" w:eastAsia="黑体" w:cs="黑体"/>
          <w:b w:val="0"/>
          <w:bCs/>
          <w:sz w:val="72"/>
          <w:szCs w:val="72"/>
          <w:lang w:val="en-US" w:eastAsia="zh-CN"/>
        </w:rPr>
        <w:sectPr>
          <w:headerReference r:id="rId4" w:type="first"/>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bookmarkEnd w:id="1"/>
    <w:bookmarkEnd w:id="2"/>
    <w:bookmarkEnd w:id="3"/>
    <w:bookmarkEnd w:id="4"/>
    <w:bookmarkEnd w:id="5"/>
    <w:bookmarkEnd w:id="6"/>
    <w:bookmarkEnd w:id="7"/>
    <w:p>
      <w:pPr>
        <w:keepNext w:val="0"/>
        <w:keepLines w:val="0"/>
        <w:pageBreakBefore w:val="0"/>
        <w:widowControl w:val="0"/>
        <w:kinsoku/>
        <w:wordWrap/>
        <w:overflowPunct/>
        <w:topLinePunct w:val="0"/>
        <w:autoSpaceDE/>
        <w:autoSpaceDN/>
        <w:bidi w:val="0"/>
        <w:adjustRightInd/>
        <w:snapToGrid/>
        <w:spacing w:before="313" w:beforeLines="100" w:after="157" w:afterLines="50" w:line="240" w:lineRule="auto"/>
        <w:ind w:left="0" w:leftChars="0" w:right="0" w:rightChars="0" w:firstLine="0" w:firstLineChars="0"/>
        <w:jc w:val="center"/>
        <w:textAlignment w:val="auto"/>
        <w:outlineLvl w:val="9"/>
        <w:rPr>
          <w:rFonts w:hint="eastAsia"/>
          <w:b/>
          <w:bCs/>
          <w:sz w:val="44"/>
          <w:szCs w:val="44"/>
          <w:lang w:eastAsia="zh-CN"/>
        </w:rPr>
        <w:sectPr>
          <w:headerReference r:id="rId6" w:type="first"/>
          <w:footerReference r:id="rId8" w:type="first"/>
          <w:headerReference r:id="rId5" w:type="default"/>
          <w:footerReference r:id="rId7" w:type="default"/>
          <w:pgSz w:w="11906" w:h="16838"/>
          <w:pgMar w:top="1440" w:right="1080" w:bottom="1440" w:left="1080" w:header="454" w:footer="737" w:gutter="0"/>
          <w:pgBorders>
            <w:top w:val="none" w:sz="0" w:space="0"/>
            <w:left w:val="none" w:sz="0" w:space="0"/>
            <w:bottom w:val="none" w:sz="0" w:space="0"/>
            <w:right w:val="none" w:sz="0" w:space="0"/>
          </w:pgBorders>
          <w:pgNumType w:fmt="upperRoman" w:start="1"/>
          <w:cols w:space="425"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313" w:beforeLines="100" w:after="157" w:afterLines="50" w:line="240" w:lineRule="auto"/>
        <w:ind w:left="0" w:leftChars="0" w:right="0" w:rightChars="0" w:firstLine="0" w:firstLineChars="0"/>
        <w:jc w:val="center"/>
        <w:textAlignment w:val="auto"/>
        <w:outlineLvl w:val="9"/>
        <w:rPr>
          <w:rFonts w:hint="eastAsia"/>
          <w:b/>
          <w:bCs/>
          <w:sz w:val="44"/>
          <w:szCs w:val="44"/>
          <w:lang w:eastAsia="zh-CN"/>
        </w:rPr>
      </w:pPr>
      <w:r>
        <w:rPr>
          <w:rFonts w:hint="eastAsia"/>
          <w:b/>
          <w:bCs/>
          <w:sz w:val="44"/>
          <w:szCs w:val="44"/>
          <w:lang w:eastAsia="zh-CN"/>
        </w:rPr>
        <w:t>目</w:t>
      </w:r>
      <w:r>
        <w:rPr>
          <w:rFonts w:hint="eastAsia"/>
          <w:b/>
          <w:bCs/>
          <w:sz w:val="44"/>
          <w:szCs w:val="44"/>
          <w:lang w:val="en-US" w:eastAsia="zh-CN"/>
        </w:rPr>
        <w:t xml:space="preserve"> </w:t>
      </w:r>
      <w:r>
        <w:rPr>
          <w:rFonts w:hint="eastAsia"/>
          <w:b/>
          <w:bCs/>
          <w:sz w:val="44"/>
          <w:szCs w:val="44"/>
          <w:lang w:eastAsia="zh-CN"/>
        </w:rPr>
        <w:t>录</w:t>
      </w:r>
    </w:p>
    <w:p>
      <w:pPr>
        <w:pStyle w:val="13"/>
        <w:tabs>
          <w:tab w:val="right" w:leader="dot" w:pos="9746"/>
        </w:tabs>
      </w:pPr>
      <w:r>
        <w:rPr>
          <w:rFonts w:hint="eastAsia"/>
          <w:sz w:val="28"/>
          <w:szCs w:val="28"/>
          <w:lang w:val="en-US" w:eastAsia="zh-CN"/>
        </w:rPr>
        <w:fldChar w:fldCharType="begin"/>
      </w:r>
      <w:r>
        <w:rPr>
          <w:rFonts w:hint="eastAsia"/>
          <w:sz w:val="28"/>
          <w:szCs w:val="28"/>
          <w:lang w:val="en-US" w:eastAsia="zh-CN"/>
        </w:rPr>
        <w:instrText xml:space="preserve">TOC \o "1-3" \h \u </w:instrText>
      </w:r>
      <w:r>
        <w:rPr>
          <w:rFonts w:hint="eastAsia"/>
          <w:sz w:val="28"/>
          <w:szCs w:val="28"/>
          <w:lang w:val="en-US" w:eastAsia="zh-CN"/>
        </w:rPr>
        <w:fldChar w:fldCharType="separate"/>
      </w:r>
    </w:p>
    <w:p>
      <w:pPr>
        <w:pStyle w:val="11"/>
        <w:tabs>
          <w:tab w:val="right" w:leader="dot" w:pos="974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_Toc25082 </w:instrText>
      </w:r>
      <w:r>
        <w:rPr>
          <w:rFonts w:hint="eastAsia"/>
          <w:sz w:val="28"/>
          <w:szCs w:val="28"/>
          <w:lang w:val="en-US" w:eastAsia="zh-CN"/>
        </w:rPr>
        <w:fldChar w:fldCharType="separate"/>
      </w:r>
      <w:r>
        <w:rPr>
          <w:rFonts w:hint="eastAsia"/>
          <w:sz w:val="28"/>
          <w:szCs w:val="28"/>
          <w:lang w:val="en-US" w:eastAsia="zh-CN"/>
        </w:rPr>
        <w:t>1</w:t>
      </w:r>
      <w:r>
        <w:rPr>
          <w:rFonts w:hint="eastAsia"/>
          <w:sz w:val="28"/>
          <w:szCs w:val="28"/>
        </w:rPr>
        <w:t xml:space="preserve"> </w:t>
      </w:r>
      <w:r>
        <w:rPr>
          <w:rFonts w:hint="eastAsia"/>
          <w:sz w:val="28"/>
          <w:szCs w:val="28"/>
          <w:lang w:eastAsia="zh-CN"/>
        </w:rPr>
        <w:t>报告前言</w:t>
      </w:r>
      <w:r>
        <w:rPr>
          <w:sz w:val="28"/>
          <w:szCs w:val="28"/>
        </w:rPr>
        <w:tab/>
      </w:r>
      <w:r>
        <w:rPr>
          <w:sz w:val="28"/>
          <w:szCs w:val="28"/>
        </w:rPr>
        <w:fldChar w:fldCharType="begin"/>
      </w:r>
      <w:r>
        <w:rPr>
          <w:sz w:val="28"/>
          <w:szCs w:val="28"/>
        </w:rPr>
        <w:instrText xml:space="preserve"> PAGEREF _Toc25082 </w:instrText>
      </w:r>
      <w:r>
        <w:rPr>
          <w:sz w:val="28"/>
          <w:szCs w:val="28"/>
        </w:rPr>
        <w:fldChar w:fldCharType="separate"/>
      </w:r>
      <w:r>
        <w:rPr>
          <w:sz w:val="28"/>
          <w:szCs w:val="28"/>
        </w:rPr>
        <w:t>1</w:t>
      </w:r>
      <w:r>
        <w:rPr>
          <w:sz w:val="28"/>
          <w:szCs w:val="28"/>
        </w:rPr>
        <w:fldChar w:fldCharType="end"/>
      </w:r>
      <w:r>
        <w:rPr>
          <w:rFonts w:hint="eastAsia"/>
          <w:sz w:val="28"/>
          <w:szCs w:val="28"/>
          <w:lang w:val="en-US" w:eastAsia="zh-CN"/>
        </w:rPr>
        <w:fldChar w:fldCharType="end"/>
      </w:r>
    </w:p>
    <w:p>
      <w:pPr>
        <w:pStyle w:val="8"/>
        <w:tabs>
          <w:tab w:val="right" w:leader="dot" w:pos="974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_Toc28194 </w:instrText>
      </w:r>
      <w:r>
        <w:rPr>
          <w:rFonts w:hint="eastAsia"/>
          <w:sz w:val="28"/>
          <w:szCs w:val="28"/>
          <w:lang w:val="en-US" w:eastAsia="zh-CN"/>
        </w:rPr>
        <w:fldChar w:fldCharType="separate"/>
      </w:r>
      <w:r>
        <w:rPr>
          <w:rFonts w:hint="eastAsia"/>
          <w:sz w:val="28"/>
          <w:szCs w:val="28"/>
          <w:lang w:val="en-US" w:eastAsia="zh-CN"/>
        </w:rPr>
        <w:t>1.1 报告编制规范</w:t>
      </w:r>
      <w:r>
        <w:rPr>
          <w:sz w:val="28"/>
          <w:szCs w:val="28"/>
        </w:rPr>
        <w:tab/>
      </w:r>
      <w:r>
        <w:rPr>
          <w:sz w:val="28"/>
          <w:szCs w:val="28"/>
        </w:rPr>
        <w:fldChar w:fldCharType="begin"/>
      </w:r>
      <w:r>
        <w:rPr>
          <w:sz w:val="28"/>
          <w:szCs w:val="28"/>
        </w:rPr>
        <w:instrText xml:space="preserve"> PAGEREF _Toc28194 </w:instrText>
      </w:r>
      <w:r>
        <w:rPr>
          <w:sz w:val="28"/>
          <w:szCs w:val="28"/>
        </w:rPr>
        <w:fldChar w:fldCharType="separate"/>
      </w:r>
      <w:r>
        <w:rPr>
          <w:sz w:val="28"/>
          <w:szCs w:val="28"/>
        </w:rPr>
        <w:t>1</w:t>
      </w:r>
      <w:r>
        <w:rPr>
          <w:sz w:val="28"/>
          <w:szCs w:val="28"/>
        </w:rPr>
        <w:fldChar w:fldCharType="end"/>
      </w:r>
      <w:r>
        <w:rPr>
          <w:rFonts w:hint="eastAsia"/>
          <w:sz w:val="28"/>
          <w:szCs w:val="28"/>
          <w:lang w:val="en-US" w:eastAsia="zh-CN"/>
        </w:rPr>
        <w:fldChar w:fldCharType="end"/>
      </w:r>
    </w:p>
    <w:p>
      <w:pPr>
        <w:pStyle w:val="8"/>
        <w:tabs>
          <w:tab w:val="right" w:leader="dot" w:pos="974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_Toc5167 </w:instrText>
      </w:r>
      <w:r>
        <w:rPr>
          <w:rFonts w:hint="eastAsia"/>
          <w:sz w:val="28"/>
          <w:szCs w:val="28"/>
          <w:lang w:val="en-US" w:eastAsia="zh-CN"/>
        </w:rPr>
        <w:fldChar w:fldCharType="separate"/>
      </w:r>
      <w:r>
        <w:rPr>
          <w:rFonts w:hint="eastAsia"/>
          <w:sz w:val="28"/>
          <w:szCs w:val="28"/>
          <w:lang w:val="en-US" w:eastAsia="zh-CN"/>
        </w:rPr>
        <w:t>1.2 企业高层致辞</w:t>
      </w:r>
      <w:r>
        <w:rPr>
          <w:sz w:val="28"/>
          <w:szCs w:val="28"/>
        </w:rPr>
        <w:tab/>
      </w:r>
      <w:r>
        <w:rPr>
          <w:sz w:val="28"/>
          <w:szCs w:val="28"/>
        </w:rPr>
        <w:fldChar w:fldCharType="begin"/>
      </w:r>
      <w:r>
        <w:rPr>
          <w:sz w:val="28"/>
          <w:szCs w:val="28"/>
        </w:rPr>
        <w:instrText xml:space="preserve"> PAGEREF _Toc5167 </w:instrText>
      </w:r>
      <w:r>
        <w:rPr>
          <w:sz w:val="28"/>
          <w:szCs w:val="28"/>
        </w:rPr>
        <w:fldChar w:fldCharType="separate"/>
      </w:r>
      <w:r>
        <w:rPr>
          <w:sz w:val="28"/>
          <w:szCs w:val="28"/>
        </w:rPr>
        <w:t>1</w:t>
      </w:r>
      <w:r>
        <w:rPr>
          <w:sz w:val="28"/>
          <w:szCs w:val="28"/>
        </w:rPr>
        <w:fldChar w:fldCharType="end"/>
      </w:r>
      <w:r>
        <w:rPr>
          <w:rFonts w:hint="eastAsia"/>
          <w:sz w:val="28"/>
          <w:szCs w:val="28"/>
          <w:lang w:val="en-US" w:eastAsia="zh-CN"/>
        </w:rPr>
        <w:fldChar w:fldCharType="end"/>
      </w:r>
    </w:p>
    <w:p>
      <w:pPr>
        <w:pStyle w:val="8"/>
        <w:tabs>
          <w:tab w:val="right" w:leader="dot" w:pos="974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_Toc15784 </w:instrText>
      </w:r>
      <w:r>
        <w:rPr>
          <w:rFonts w:hint="eastAsia"/>
          <w:sz w:val="28"/>
          <w:szCs w:val="28"/>
          <w:lang w:val="en-US" w:eastAsia="zh-CN"/>
        </w:rPr>
        <w:fldChar w:fldCharType="separate"/>
      </w:r>
      <w:r>
        <w:rPr>
          <w:rFonts w:hint="eastAsia"/>
          <w:sz w:val="28"/>
          <w:szCs w:val="28"/>
          <w:lang w:val="en-US" w:eastAsia="zh-CN"/>
        </w:rPr>
        <w:t>1.3 企业简介</w:t>
      </w:r>
      <w:r>
        <w:rPr>
          <w:sz w:val="28"/>
          <w:szCs w:val="28"/>
        </w:rPr>
        <w:tab/>
      </w:r>
      <w:r>
        <w:rPr>
          <w:sz w:val="28"/>
          <w:szCs w:val="28"/>
        </w:rPr>
        <w:fldChar w:fldCharType="begin"/>
      </w:r>
      <w:r>
        <w:rPr>
          <w:sz w:val="28"/>
          <w:szCs w:val="28"/>
        </w:rPr>
        <w:instrText xml:space="preserve"> PAGEREF _Toc15784 </w:instrText>
      </w:r>
      <w:r>
        <w:rPr>
          <w:sz w:val="28"/>
          <w:szCs w:val="28"/>
        </w:rPr>
        <w:fldChar w:fldCharType="separate"/>
      </w:r>
      <w:r>
        <w:rPr>
          <w:sz w:val="28"/>
          <w:szCs w:val="28"/>
        </w:rPr>
        <w:t>1</w:t>
      </w:r>
      <w:r>
        <w:rPr>
          <w:sz w:val="28"/>
          <w:szCs w:val="28"/>
        </w:rPr>
        <w:fldChar w:fldCharType="end"/>
      </w:r>
      <w:r>
        <w:rPr>
          <w:rFonts w:hint="eastAsia"/>
          <w:sz w:val="28"/>
          <w:szCs w:val="28"/>
          <w:lang w:val="en-US" w:eastAsia="zh-CN"/>
        </w:rPr>
        <w:fldChar w:fldCharType="end"/>
      </w:r>
    </w:p>
    <w:p>
      <w:pPr>
        <w:pStyle w:val="11"/>
        <w:tabs>
          <w:tab w:val="right" w:leader="dot" w:pos="974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_Toc15563 </w:instrText>
      </w:r>
      <w:r>
        <w:rPr>
          <w:rFonts w:hint="eastAsia"/>
          <w:sz w:val="28"/>
          <w:szCs w:val="28"/>
          <w:lang w:val="en-US" w:eastAsia="zh-CN"/>
        </w:rPr>
        <w:fldChar w:fldCharType="separate"/>
      </w:r>
      <w:r>
        <w:rPr>
          <w:rFonts w:hint="eastAsia"/>
          <w:sz w:val="28"/>
          <w:szCs w:val="28"/>
          <w:lang w:val="en-US" w:eastAsia="zh-CN"/>
        </w:rPr>
        <w:t>2</w:t>
      </w:r>
      <w:r>
        <w:rPr>
          <w:rFonts w:hint="eastAsia"/>
          <w:sz w:val="28"/>
          <w:szCs w:val="28"/>
        </w:rPr>
        <w:t xml:space="preserve"> </w:t>
      </w:r>
      <w:r>
        <w:rPr>
          <w:rFonts w:hint="eastAsia"/>
          <w:sz w:val="28"/>
          <w:szCs w:val="28"/>
          <w:lang w:eastAsia="zh-CN"/>
        </w:rPr>
        <w:t>报告正文</w:t>
      </w:r>
      <w:r>
        <w:rPr>
          <w:sz w:val="28"/>
          <w:szCs w:val="28"/>
        </w:rPr>
        <w:tab/>
      </w:r>
      <w:r>
        <w:rPr>
          <w:sz w:val="28"/>
          <w:szCs w:val="28"/>
        </w:rPr>
        <w:fldChar w:fldCharType="begin"/>
      </w:r>
      <w:r>
        <w:rPr>
          <w:sz w:val="28"/>
          <w:szCs w:val="28"/>
        </w:rPr>
        <w:instrText xml:space="preserve"> PAGEREF _Toc15563 </w:instrText>
      </w:r>
      <w:r>
        <w:rPr>
          <w:sz w:val="28"/>
          <w:szCs w:val="28"/>
        </w:rPr>
        <w:fldChar w:fldCharType="separate"/>
      </w:r>
      <w:r>
        <w:rPr>
          <w:sz w:val="28"/>
          <w:szCs w:val="28"/>
        </w:rPr>
        <w:t>3</w:t>
      </w:r>
      <w:r>
        <w:rPr>
          <w:sz w:val="28"/>
          <w:szCs w:val="28"/>
        </w:rPr>
        <w:fldChar w:fldCharType="end"/>
      </w:r>
      <w:r>
        <w:rPr>
          <w:rFonts w:hint="eastAsia"/>
          <w:sz w:val="28"/>
          <w:szCs w:val="28"/>
          <w:lang w:val="en-US" w:eastAsia="zh-CN"/>
        </w:rPr>
        <w:fldChar w:fldCharType="end"/>
      </w:r>
    </w:p>
    <w:p>
      <w:pPr>
        <w:pStyle w:val="8"/>
        <w:tabs>
          <w:tab w:val="right" w:leader="dot" w:pos="974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_Toc8554 </w:instrText>
      </w:r>
      <w:r>
        <w:rPr>
          <w:rFonts w:hint="eastAsia"/>
          <w:sz w:val="28"/>
          <w:szCs w:val="28"/>
          <w:lang w:val="en-US" w:eastAsia="zh-CN"/>
        </w:rPr>
        <w:fldChar w:fldCharType="separate"/>
      </w:r>
      <w:r>
        <w:rPr>
          <w:rFonts w:hint="eastAsia"/>
          <w:sz w:val="28"/>
          <w:szCs w:val="28"/>
          <w:lang w:val="en-US" w:eastAsia="zh-CN"/>
        </w:rPr>
        <w:t>2.1 企业质量理念</w:t>
      </w:r>
      <w:r>
        <w:rPr>
          <w:sz w:val="28"/>
          <w:szCs w:val="28"/>
        </w:rPr>
        <w:tab/>
      </w:r>
      <w:r>
        <w:rPr>
          <w:sz w:val="28"/>
          <w:szCs w:val="28"/>
        </w:rPr>
        <w:fldChar w:fldCharType="begin"/>
      </w:r>
      <w:r>
        <w:rPr>
          <w:sz w:val="28"/>
          <w:szCs w:val="28"/>
        </w:rPr>
        <w:instrText xml:space="preserve"> PAGEREF _Toc8554 </w:instrText>
      </w:r>
      <w:r>
        <w:rPr>
          <w:sz w:val="28"/>
          <w:szCs w:val="28"/>
        </w:rPr>
        <w:fldChar w:fldCharType="separate"/>
      </w:r>
      <w:r>
        <w:rPr>
          <w:sz w:val="28"/>
          <w:szCs w:val="28"/>
        </w:rPr>
        <w:t>3</w:t>
      </w:r>
      <w:r>
        <w:rPr>
          <w:sz w:val="28"/>
          <w:szCs w:val="28"/>
        </w:rPr>
        <w:fldChar w:fldCharType="end"/>
      </w:r>
      <w:r>
        <w:rPr>
          <w:rFonts w:hint="eastAsia"/>
          <w:sz w:val="28"/>
          <w:szCs w:val="28"/>
          <w:lang w:val="en-US" w:eastAsia="zh-CN"/>
        </w:rPr>
        <w:fldChar w:fldCharType="end"/>
      </w:r>
    </w:p>
    <w:p>
      <w:pPr>
        <w:pStyle w:val="8"/>
        <w:tabs>
          <w:tab w:val="right" w:leader="dot" w:pos="974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_Toc3943 </w:instrText>
      </w:r>
      <w:r>
        <w:rPr>
          <w:rFonts w:hint="eastAsia"/>
          <w:sz w:val="28"/>
          <w:szCs w:val="28"/>
          <w:lang w:val="en-US" w:eastAsia="zh-CN"/>
        </w:rPr>
        <w:fldChar w:fldCharType="separate"/>
      </w:r>
      <w:r>
        <w:rPr>
          <w:rFonts w:hint="eastAsia"/>
          <w:sz w:val="28"/>
          <w:szCs w:val="28"/>
          <w:lang w:val="en-US" w:eastAsia="zh-CN"/>
        </w:rPr>
        <w:t>2.2 企业质量管理</w:t>
      </w:r>
      <w:r>
        <w:rPr>
          <w:sz w:val="28"/>
          <w:szCs w:val="28"/>
        </w:rPr>
        <w:tab/>
      </w:r>
      <w:r>
        <w:rPr>
          <w:sz w:val="28"/>
          <w:szCs w:val="28"/>
        </w:rPr>
        <w:fldChar w:fldCharType="begin"/>
      </w:r>
      <w:r>
        <w:rPr>
          <w:sz w:val="28"/>
          <w:szCs w:val="28"/>
        </w:rPr>
        <w:instrText xml:space="preserve"> PAGEREF _Toc3943 </w:instrText>
      </w:r>
      <w:r>
        <w:rPr>
          <w:sz w:val="28"/>
          <w:szCs w:val="28"/>
        </w:rPr>
        <w:fldChar w:fldCharType="separate"/>
      </w:r>
      <w:r>
        <w:rPr>
          <w:sz w:val="28"/>
          <w:szCs w:val="28"/>
        </w:rPr>
        <w:t>4</w:t>
      </w:r>
      <w:r>
        <w:rPr>
          <w:sz w:val="28"/>
          <w:szCs w:val="28"/>
        </w:rPr>
        <w:fldChar w:fldCharType="end"/>
      </w:r>
      <w:r>
        <w:rPr>
          <w:rFonts w:hint="eastAsia"/>
          <w:sz w:val="28"/>
          <w:szCs w:val="28"/>
          <w:lang w:val="en-US" w:eastAsia="zh-CN"/>
        </w:rPr>
        <w:fldChar w:fldCharType="end"/>
      </w:r>
    </w:p>
    <w:p>
      <w:pPr>
        <w:pStyle w:val="8"/>
        <w:tabs>
          <w:tab w:val="right" w:leader="dot" w:pos="974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_Toc27670 </w:instrText>
      </w:r>
      <w:r>
        <w:rPr>
          <w:rFonts w:hint="eastAsia"/>
          <w:sz w:val="28"/>
          <w:szCs w:val="28"/>
          <w:lang w:val="en-US" w:eastAsia="zh-CN"/>
        </w:rPr>
        <w:fldChar w:fldCharType="separate"/>
      </w:r>
      <w:r>
        <w:rPr>
          <w:rFonts w:hint="eastAsia"/>
          <w:sz w:val="28"/>
          <w:szCs w:val="28"/>
          <w:lang w:val="en-US" w:eastAsia="zh-CN"/>
        </w:rPr>
        <w:t>2.3 质量诚信管理</w:t>
      </w:r>
      <w:r>
        <w:rPr>
          <w:sz w:val="28"/>
          <w:szCs w:val="28"/>
        </w:rPr>
        <w:tab/>
      </w:r>
      <w:r>
        <w:rPr>
          <w:sz w:val="28"/>
          <w:szCs w:val="28"/>
        </w:rPr>
        <w:fldChar w:fldCharType="begin"/>
      </w:r>
      <w:r>
        <w:rPr>
          <w:sz w:val="28"/>
          <w:szCs w:val="28"/>
        </w:rPr>
        <w:instrText xml:space="preserve"> PAGEREF _Toc27670 </w:instrText>
      </w:r>
      <w:r>
        <w:rPr>
          <w:sz w:val="28"/>
          <w:szCs w:val="28"/>
        </w:rPr>
        <w:fldChar w:fldCharType="separate"/>
      </w:r>
      <w:r>
        <w:rPr>
          <w:sz w:val="28"/>
          <w:szCs w:val="28"/>
        </w:rPr>
        <w:t>6</w:t>
      </w:r>
      <w:r>
        <w:rPr>
          <w:sz w:val="28"/>
          <w:szCs w:val="28"/>
        </w:rPr>
        <w:fldChar w:fldCharType="end"/>
      </w:r>
      <w:r>
        <w:rPr>
          <w:rFonts w:hint="eastAsia"/>
          <w:sz w:val="28"/>
          <w:szCs w:val="28"/>
          <w:lang w:val="en-US" w:eastAsia="zh-CN"/>
        </w:rPr>
        <w:fldChar w:fldCharType="end"/>
      </w:r>
    </w:p>
    <w:p>
      <w:pPr>
        <w:pStyle w:val="8"/>
        <w:tabs>
          <w:tab w:val="right" w:leader="dot" w:pos="974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_Toc15654 </w:instrText>
      </w:r>
      <w:r>
        <w:rPr>
          <w:rFonts w:hint="eastAsia"/>
          <w:sz w:val="28"/>
          <w:szCs w:val="28"/>
          <w:lang w:val="en-US" w:eastAsia="zh-CN"/>
        </w:rPr>
        <w:fldChar w:fldCharType="separate"/>
      </w:r>
      <w:r>
        <w:rPr>
          <w:rFonts w:hint="eastAsia"/>
          <w:sz w:val="28"/>
          <w:szCs w:val="28"/>
          <w:lang w:val="en-US" w:eastAsia="zh-CN"/>
        </w:rPr>
        <w:t>2.4 质量管理基础</w:t>
      </w:r>
      <w:r>
        <w:rPr>
          <w:sz w:val="28"/>
          <w:szCs w:val="28"/>
        </w:rPr>
        <w:tab/>
      </w:r>
      <w:r>
        <w:rPr>
          <w:sz w:val="28"/>
          <w:szCs w:val="28"/>
        </w:rPr>
        <w:fldChar w:fldCharType="begin"/>
      </w:r>
      <w:r>
        <w:rPr>
          <w:sz w:val="28"/>
          <w:szCs w:val="28"/>
        </w:rPr>
        <w:instrText xml:space="preserve"> PAGEREF _Toc15654 </w:instrText>
      </w:r>
      <w:r>
        <w:rPr>
          <w:sz w:val="28"/>
          <w:szCs w:val="28"/>
        </w:rPr>
        <w:fldChar w:fldCharType="separate"/>
      </w:r>
      <w:r>
        <w:rPr>
          <w:sz w:val="28"/>
          <w:szCs w:val="28"/>
        </w:rPr>
        <w:t>7</w:t>
      </w:r>
      <w:r>
        <w:rPr>
          <w:sz w:val="28"/>
          <w:szCs w:val="28"/>
        </w:rPr>
        <w:fldChar w:fldCharType="end"/>
      </w:r>
      <w:r>
        <w:rPr>
          <w:rFonts w:hint="eastAsia"/>
          <w:sz w:val="28"/>
          <w:szCs w:val="28"/>
          <w:lang w:val="en-US" w:eastAsia="zh-CN"/>
        </w:rPr>
        <w:fldChar w:fldCharType="end"/>
      </w:r>
    </w:p>
    <w:p>
      <w:pPr>
        <w:pStyle w:val="8"/>
        <w:tabs>
          <w:tab w:val="right" w:leader="dot" w:pos="974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_Toc20413 </w:instrText>
      </w:r>
      <w:r>
        <w:rPr>
          <w:rFonts w:hint="eastAsia"/>
          <w:sz w:val="28"/>
          <w:szCs w:val="28"/>
          <w:lang w:val="en-US" w:eastAsia="zh-CN"/>
        </w:rPr>
        <w:fldChar w:fldCharType="separate"/>
      </w:r>
      <w:r>
        <w:rPr>
          <w:rFonts w:hint="eastAsia"/>
          <w:sz w:val="28"/>
          <w:szCs w:val="28"/>
          <w:lang w:val="en-US" w:eastAsia="zh-CN"/>
        </w:rPr>
        <w:t xml:space="preserve">2.5 </w:t>
      </w:r>
      <w:r>
        <w:rPr>
          <w:rFonts w:hint="default"/>
          <w:sz w:val="28"/>
          <w:szCs w:val="28"/>
          <w:lang w:val="en-US" w:eastAsia="zh-CN"/>
        </w:rPr>
        <w:t>产品质量责任</w:t>
      </w:r>
      <w:r>
        <w:rPr>
          <w:sz w:val="28"/>
          <w:szCs w:val="28"/>
        </w:rPr>
        <w:tab/>
      </w:r>
      <w:r>
        <w:rPr>
          <w:sz w:val="28"/>
          <w:szCs w:val="28"/>
        </w:rPr>
        <w:fldChar w:fldCharType="begin"/>
      </w:r>
      <w:r>
        <w:rPr>
          <w:sz w:val="28"/>
          <w:szCs w:val="28"/>
        </w:rPr>
        <w:instrText xml:space="preserve"> PAGEREF _Toc20413 </w:instrText>
      </w:r>
      <w:r>
        <w:rPr>
          <w:sz w:val="28"/>
          <w:szCs w:val="28"/>
        </w:rPr>
        <w:fldChar w:fldCharType="separate"/>
      </w:r>
      <w:r>
        <w:rPr>
          <w:sz w:val="28"/>
          <w:szCs w:val="28"/>
        </w:rPr>
        <w:t>8</w:t>
      </w:r>
      <w:r>
        <w:rPr>
          <w:sz w:val="28"/>
          <w:szCs w:val="28"/>
        </w:rPr>
        <w:fldChar w:fldCharType="end"/>
      </w:r>
      <w:r>
        <w:rPr>
          <w:rFonts w:hint="eastAsia"/>
          <w:sz w:val="28"/>
          <w:szCs w:val="28"/>
          <w:lang w:val="en-US" w:eastAsia="zh-CN"/>
        </w:rPr>
        <w:fldChar w:fldCharType="end"/>
      </w:r>
    </w:p>
    <w:p>
      <w:pPr>
        <w:pStyle w:val="11"/>
        <w:tabs>
          <w:tab w:val="right" w:leader="dot" w:pos="9746"/>
        </w:tabs>
      </w:pPr>
      <w:r>
        <w:rPr>
          <w:rFonts w:hint="eastAsia"/>
          <w:sz w:val="28"/>
          <w:szCs w:val="28"/>
          <w:lang w:val="en-US" w:eastAsia="zh-CN"/>
        </w:rPr>
        <w:fldChar w:fldCharType="begin"/>
      </w:r>
      <w:r>
        <w:rPr>
          <w:rFonts w:hint="eastAsia"/>
          <w:sz w:val="28"/>
          <w:szCs w:val="28"/>
          <w:lang w:val="en-US" w:eastAsia="zh-CN"/>
        </w:rPr>
        <w:instrText xml:space="preserve"> HYPERLINK \l _Toc18482 </w:instrText>
      </w:r>
      <w:r>
        <w:rPr>
          <w:rFonts w:hint="eastAsia"/>
          <w:sz w:val="28"/>
          <w:szCs w:val="28"/>
          <w:lang w:val="en-US" w:eastAsia="zh-CN"/>
        </w:rPr>
        <w:fldChar w:fldCharType="separate"/>
      </w:r>
      <w:r>
        <w:rPr>
          <w:rFonts w:hint="eastAsia"/>
          <w:sz w:val="28"/>
          <w:szCs w:val="28"/>
          <w:lang w:val="en-US" w:eastAsia="zh-CN"/>
        </w:rPr>
        <w:t>3</w:t>
      </w:r>
      <w:r>
        <w:rPr>
          <w:rFonts w:hint="default"/>
          <w:sz w:val="28"/>
          <w:szCs w:val="28"/>
          <w:lang w:val="en-US" w:eastAsia="zh-CN"/>
        </w:rPr>
        <w:t xml:space="preserve"> 报告结语</w:t>
      </w:r>
      <w:r>
        <w:rPr>
          <w:sz w:val="28"/>
          <w:szCs w:val="28"/>
        </w:rPr>
        <w:tab/>
      </w:r>
      <w:r>
        <w:rPr>
          <w:sz w:val="28"/>
          <w:szCs w:val="28"/>
        </w:rPr>
        <w:fldChar w:fldCharType="begin"/>
      </w:r>
      <w:r>
        <w:rPr>
          <w:sz w:val="28"/>
          <w:szCs w:val="28"/>
        </w:rPr>
        <w:instrText xml:space="preserve"> PAGEREF _Toc18482 </w:instrText>
      </w:r>
      <w:r>
        <w:rPr>
          <w:sz w:val="28"/>
          <w:szCs w:val="28"/>
        </w:rPr>
        <w:fldChar w:fldCharType="separate"/>
      </w:r>
      <w:r>
        <w:rPr>
          <w:sz w:val="28"/>
          <w:szCs w:val="28"/>
        </w:rPr>
        <w:t>11</w:t>
      </w:r>
      <w:r>
        <w:rPr>
          <w:sz w:val="28"/>
          <w:szCs w:val="28"/>
        </w:rPr>
        <w:fldChar w:fldCharType="end"/>
      </w:r>
      <w:r>
        <w:rPr>
          <w:rFonts w:hint="eastAsia"/>
          <w:sz w:val="28"/>
          <w:szCs w:val="28"/>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sz w:val="28"/>
          <w:szCs w:val="28"/>
          <w:lang w:val="en-US" w:eastAsia="zh-CN"/>
        </w:rPr>
        <w:sectPr>
          <w:headerReference r:id="rId9" w:type="first"/>
          <w:footerReference r:id="rId11" w:type="first"/>
          <w:footerReference r:id="rId10" w:type="default"/>
          <w:pgSz w:w="11906" w:h="16838"/>
          <w:pgMar w:top="1440" w:right="1080" w:bottom="1440" w:left="1080" w:header="454" w:footer="737" w:gutter="0"/>
          <w:pgBorders>
            <w:top w:val="none" w:sz="0" w:space="0"/>
            <w:left w:val="none" w:sz="0" w:space="0"/>
            <w:bottom w:val="none" w:sz="0" w:space="0"/>
            <w:right w:val="none" w:sz="0" w:space="0"/>
          </w:pgBorders>
          <w:pgNumType w:fmt="upperRoman" w:start="1"/>
          <w:cols w:space="425" w:num="1"/>
          <w:titlePg/>
          <w:docGrid w:type="lines" w:linePitch="312" w:charSpace="0"/>
        </w:sectPr>
      </w:pPr>
      <w:r>
        <w:rPr>
          <w:rFonts w:hint="eastAsia"/>
          <w:szCs w:val="28"/>
          <w:lang w:val="en-US" w:eastAsia="zh-CN"/>
        </w:rPr>
        <w:fldChar w:fldCharType="end"/>
      </w:r>
    </w:p>
    <w:p>
      <w:pPr>
        <w:pStyle w:val="5"/>
        <w:keepNext/>
        <w:keepLines/>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sz w:val="32"/>
          <w:szCs w:val="32"/>
        </w:rPr>
        <w:sectPr>
          <w:footerReference r:id="rId12" w:type="default"/>
          <w:pgSz w:w="11906" w:h="16838"/>
          <w:pgMar w:top="1440" w:right="1080" w:bottom="1440" w:left="1080" w:header="454" w:footer="964" w:gutter="0"/>
          <w:pgBorders>
            <w:top w:val="none" w:sz="0" w:space="0"/>
            <w:left w:val="none" w:sz="0" w:space="0"/>
            <w:bottom w:val="none" w:sz="0" w:space="0"/>
            <w:right w:val="none" w:sz="0" w:space="0"/>
          </w:pgBorders>
          <w:pgNumType w:fmt="decimal" w:start="1"/>
          <w:cols w:space="425" w:num="1"/>
          <w:docGrid w:type="lines" w:linePitch="312" w:charSpace="0"/>
        </w:sectPr>
      </w:pPr>
      <w:bookmarkStart w:id="16" w:name="_Toc11660"/>
    </w:p>
    <w:p>
      <w:pPr>
        <w:pStyle w:val="5"/>
        <w:keepNext/>
        <w:keepLines/>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sz w:val="32"/>
          <w:szCs w:val="32"/>
          <w:lang w:eastAsia="zh-CN"/>
        </w:rPr>
      </w:pPr>
      <w:bookmarkStart w:id="17" w:name="_Toc2100"/>
      <w:r>
        <w:rPr>
          <w:rFonts w:hint="eastAsia" w:asciiTheme="minorEastAsia" w:hAnsiTheme="minorEastAsia" w:eastAsiaTheme="minorEastAsia" w:cstheme="minorEastAsia"/>
          <w:sz w:val="32"/>
          <w:szCs w:val="32"/>
          <w:lang w:eastAsia="zh-CN"/>
        </w:rPr>
        <w:t>戚墅堰所质量信用报告</w:t>
      </w:r>
      <w:bookmarkEnd w:id="17"/>
    </w:p>
    <w:p>
      <w:pPr>
        <w:pStyle w:val="4"/>
        <w:rPr>
          <w:rFonts w:hint="eastAsia"/>
          <w:lang w:eastAsia="zh-CN"/>
        </w:rPr>
      </w:pPr>
      <w:bookmarkStart w:id="18" w:name="_Toc25082"/>
      <w:r>
        <w:rPr>
          <w:rFonts w:hint="eastAsia"/>
          <w:lang w:val="en-US" w:eastAsia="zh-CN"/>
        </w:rPr>
        <w:t>1</w:t>
      </w:r>
      <w:r>
        <w:rPr>
          <w:rFonts w:hint="eastAsia"/>
        </w:rPr>
        <w:t xml:space="preserve"> </w:t>
      </w:r>
      <w:r>
        <w:rPr>
          <w:rFonts w:hint="eastAsia"/>
          <w:lang w:eastAsia="zh-CN"/>
        </w:rPr>
        <w:t>报告前言</w:t>
      </w:r>
      <w:bookmarkEnd w:id="18"/>
    </w:p>
    <w:p>
      <w:pPr>
        <w:pStyle w:val="6"/>
        <w:rPr>
          <w:rFonts w:hint="eastAsia"/>
          <w:lang w:val="en-US" w:eastAsia="zh-CN"/>
        </w:rPr>
      </w:pPr>
      <w:bookmarkStart w:id="19" w:name="_Toc28194"/>
      <w:r>
        <w:rPr>
          <w:rFonts w:hint="eastAsia"/>
          <w:lang w:val="en-US" w:eastAsia="zh-CN"/>
        </w:rPr>
        <w:t>1.1 报告编制规范</w:t>
      </w:r>
      <w:bookmarkEnd w:id="19"/>
    </w:p>
    <w:p>
      <w:pPr>
        <w:spacing w:line="360" w:lineRule="auto"/>
        <w:ind w:firstLine="480" w:firstLineChars="200"/>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t>中车戚墅堰机车车辆工艺研究所有限公司（简称“戚墅堰所”）《</w:t>
      </w:r>
      <w:r>
        <w:rPr>
          <w:rFonts w:hint="eastAsia" w:asciiTheme="minorEastAsia" w:hAnsiTheme="minorEastAsia" w:eastAsiaTheme="minorEastAsia" w:cstheme="minorEastAsia"/>
          <w:sz w:val="24"/>
        </w:rPr>
        <w:t>质量信用报告</w:t>
      </w:r>
      <w:r>
        <w:rPr>
          <w:rFonts w:hint="eastAsia" w:asciiTheme="minorEastAsia" w:hAnsiTheme="minorEastAsia" w:eastAsiaTheme="minorEastAsia" w:cstheme="minorEastAsia"/>
          <w:sz w:val="24"/>
          <w:lang w:eastAsia="zh-CN"/>
        </w:rPr>
        <w:t>》是本着客观、公正的态度进行编写，报告内容内容真实、有效，符合企业实际情况。</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报告组织范围：</w:t>
      </w:r>
      <w:r>
        <w:rPr>
          <w:rFonts w:hint="eastAsia" w:asciiTheme="minorEastAsia" w:hAnsiTheme="minorEastAsia" w:eastAsiaTheme="minorEastAsia" w:cstheme="minorEastAsia"/>
          <w:sz w:val="24"/>
        </w:rPr>
        <w:t>中车戚墅堰机车车辆工艺研究所有限公司</w:t>
      </w:r>
    </w:p>
    <w:p>
      <w:pPr>
        <w:spacing w:line="360" w:lineRule="auto"/>
        <w:ind w:firstLine="480" w:firstLineChars="200"/>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eastAsia="zh-CN"/>
        </w:rPr>
        <w:t>报告时间范围：</w:t>
      </w:r>
      <w:r>
        <w:rPr>
          <w:rFonts w:hint="eastAsia" w:asciiTheme="minorEastAsia" w:hAnsiTheme="minorEastAsia" w:eastAsiaTheme="minorEastAsia" w:cstheme="minorEastAsia"/>
          <w:sz w:val="24"/>
          <w:lang w:val="en-US" w:eastAsia="zh-CN"/>
        </w:rPr>
        <w:t>2020年1月-2020年12月</w:t>
      </w:r>
    </w:p>
    <w:p>
      <w:pPr>
        <w:spacing w:line="360" w:lineRule="auto"/>
        <w:ind w:firstLine="480" w:firstLineChars="200"/>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报告发布周期：本报告为年度报告。</w:t>
      </w:r>
    </w:p>
    <w:p>
      <w:pPr>
        <w:spacing w:line="360" w:lineRule="auto"/>
        <w:ind w:firstLine="480" w:firstLineChars="200"/>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报告数据说明：本报告所有数据均来自公司实际情况或相关数据报表。</w:t>
      </w:r>
    </w:p>
    <w:p>
      <w:pPr>
        <w:spacing w:line="360" w:lineRule="auto"/>
        <w:ind w:firstLine="480" w:firstLineChars="200"/>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报告获取方式：本报告以网络版形式发布，可在戚墅堰所网站获取。</w:t>
      </w:r>
    </w:p>
    <w:p>
      <w:pPr>
        <w:pStyle w:val="6"/>
        <w:rPr>
          <w:rFonts w:hint="eastAsia"/>
          <w:lang w:val="en-US" w:eastAsia="zh-CN"/>
        </w:rPr>
      </w:pPr>
      <w:bookmarkStart w:id="20" w:name="_Toc5167"/>
      <w:r>
        <w:rPr>
          <w:rFonts w:hint="eastAsia"/>
          <w:lang w:val="en-US" w:eastAsia="zh-CN"/>
        </w:rPr>
        <w:t>1.2 企业高层致辞</w:t>
      </w:r>
      <w:bookmarkEnd w:id="2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戚墅堰所</w:t>
      </w:r>
      <w:r>
        <w:rPr>
          <w:rFonts w:hint="eastAsia" w:asciiTheme="minorEastAsia" w:hAnsiTheme="minorEastAsia" w:eastAsiaTheme="minorEastAsia" w:cstheme="minorEastAsia"/>
          <w:sz w:val="24"/>
        </w:rPr>
        <w:t>以满意顾客，创新超越；安全可靠，绿色发展为方针，坚决落实企业质量主体责任，严格遵守相关质量法律法规，</w:t>
      </w:r>
      <w:r>
        <w:rPr>
          <w:rFonts w:hint="eastAsia" w:asciiTheme="minorEastAsia" w:hAnsiTheme="minorEastAsia" w:eastAsiaTheme="minorEastAsia" w:cstheme="minorEastAsia"/>
          <w:sz w:val="24"/>
          <w:lang w:eastAsia="zh-CN"/>
        </w:rPr>
        <w:t>以相关国家、行业标准严格进行内部产品质量控制</w:t>
      </w:r>
      <w:r>
        <w:rPr>
          <w:rFonts w:hint="eastAsia" w:asciiTheme="minorEastAsia" w:hAnsiTheme="minorEastAsia" w:eastAsiaTheme="minorEastAsia" w:cstheme="minorEastAsia"/>
          <w:sz w:val="24"/>
        </w:rPr>
        <w:t>，健全产品质量、服务追溯体系，切实履行企业质量主体责任，依法承担质量损</w:t>
      </w:r>
      <w:r>
        <w:rPr>
          <w:rFonts w:hint="eastAsia" w:asciiTheme="minorEastAsia" w:hAnsiTheme="minorEastAsia" w:eastAsiaTheme="minorEastAsia" w:cstheme="minorEastAsia"/>
          <w:sz w:val="24"/>
          <w:lang w:eastAsia="zh-CN"/>
        </w:rPr>
        <w:t>失</w:t>
      </w:r>
      <w:r>
        <w:rPr>
          <w:rFonts w:hint="eastAsia" w:asciiTheme="minorEastAsia" w:hAnsiTheme="minorEastAsia" w:eastAsiaTheme="minorEastAsia" w:cstheme="minorEastAsia"/>
          <w:sz w:val="24"/>
        </w:rPr>
        <w:t>赔偿。</w:t>
      </w:r>
      <w:r>
        <w:rPr>
          <w:rFonts w:hint="eastAsia" w:asciiTheme="minorEastAsia" w:hAnsiTheme="minorEastAsia" w:eastAsiaTheme="minorEastAsia" w:cstheme="minorEastAsia"/>
          <w:sz w:val="24"/>
          <w:lang w:eastAsia="zh-CN"/>
        </w:rPr>
        <w:t>公司</w:t>
      </w:r>
      <w:r>
        <w:rPr>
          <w:rFonts w:hint="eastAsia" w:asciiTheme="minorEastAsia" w:hAnsiTheme="minorEastAsia" w:eastAsiaTheme="minorEastAsia" w:cstheme="minorEastAsia"/>
          <w:sz w:val="24"/>
        </w:rPr>
        <w:t>为确保质量诚信体系的有效运行，从制度上加以规范，从考核手段上加以落实约束，从质量文化上加以引导，从努力改进和积极实施</w:t>
      </w:r>
      <w:r>
        <w:rPr>
          <w:rFonts w:hint="eastAsia" w:asciiTheme="minorEastAsia" w:hAnsiTheme="minorEastAsia" w:eastAsiaTheme="minorEastAsia" w:cstheme="minorEastAsia"/>
          <w:sz w:val="24"/>
          <w:lang w:eastAsia="zh-CN"/>
        </w:rPr>
        <w:t>品牌</w:t>
      </w:r>
      <w:r>
        <w:rPr>
          <w:rFonts w:hint="eastAsia" w:asciiTheme="minorEastAsia" w:hAnsiTheme="minorEastAsia" w:eastAsiaTheme="minorEastAsia" w:cstheme="minorEastAsia"/>
          <w:sz w:val="24"/>
        </w:rPr>
        <w:t>战略上加以提高和升华，大力营造和创建质量诚信工作氛围和体系，不断努力提升公司产品</w:t>
      </w:r>
      <w:r>
        <w:rPr>
          <w:rFonts w:hint="eastAsia" w:asciiTheme="minorEastAsia" w:hAnsiTheme="minorEastAsia" w:eastAsiaTheme="minorEastAsia" w:cstheme="minorEastAsia"/>
          <w:sz w:val="24"/>
          <w:lang w:eastAsia="zh-CN"/>
        </w:rPr>
        <w:t>质量安全可靠性</w:t>
      </w:r>
      <w:r>
        <w:rPr>
          <w:rFonts w:hint="eastAsia" w:asciiTheme="minorEastAsia" w:hAnsiTheme="minorEastAsia" w:eastAsiaTheme="minorEastAsia" w:cstheme="minorEastAsia"/>
          <w:sz w:val="24"/>
        </w:rPr>
        <w:t>，切实服务用户。戚墅堰所作为中国中车旗下全资子公司，承载着中国中车“连接世界 造福人类”的使命，秉承“正心正道 善为善成”的核心价值观，我们深知唯有依法合规，方能稳健经营，铸就长青基业</w:t>
      </w:r>
      <w:r>
        <w:rPr>
          <w:rFonts w:hint="eastAsia" w:asciiTheme="minorEastAsia" w:hAnsiTheme="minorEastAsia" w:eastAsiaTheme="minorEastAsia" w:cstheme="minorEastAsia"/>
          <w:sz w:val="24"/>
          <w:lang w:eastAsia="zh-CN"/>
        </w:rPr>
        <w:t>，以</w:t>
      </w:r>
      <w:r>
        <w:rPr>
          <w:rFonts w:hint="eastAsia" w:asciiTheme="minorEastAsia" w:hAnsiTheme="minorEastAsia" w:eastAsiaTheme="minorEastAsia" w:cstheme="minorEastAsia"/>
          <w:sz w:val="24"/>
        </w:rPr>
        <w:t>质量为基，诚信为本，</w:t>
      </w:r>
      <w:r>
        <w:rPr>
          <w:rFonts w:hint="eastAsia" w:asciiTheme="minorEastAsia" w:hAnsiTheme="minorEastAsia" w:eastAsiaTheme="minorEastAsia" w:cstheme="minorEastAsia"/>
          <w:sz w:val="24"/>
          <w:lang w:eastAsia="zh-CN"/>
        </w:rPr>
        <w:t>戚墅堰所</w:t>
      </w:r>
      <w:r>
        <w:rPr>
          <w:rFonts w:hint="eastAsia" w:asciiTheme="minorEastAsia" w:hAnsiTheme="minorEastAsia" w:eastAsiaTheme="minorEastAsia" w:cstheme="minorEastAsia"/>
          <w:sz w:val="24"/>
        </w:rPr>
        <w:t>将一如既往努力践行质量第一、诚信经营的社会责任，持续打造</w:t>
      </w:r>
      <w:r>
        <w:rPr>
          <w:rFonts w:hint="eastAsia" w:asciiTheme="minorEastAsia" w:hAnsiTheme="minorEastAsia" w:eastAsiaTheme="minorEastAsia" w:cstheme="minorEastAsia"/>
          <w:sz w:val="24"/>
          <w:lang w:eastAsia="zh-CN"/>
        </w:rPr>
        <w:t>质量</w:t>
      </w:r>
      <w:r>
        <w:rPr>
          <w:rFonts w:hint="eastAsia" w:asciiTheme="minorEastAsia" w:hAnsiTheme="minorEastAsia" w:eastAsiaTheme="minorEastAsia" w:cstheme="minorEastAsia"/>
          <w:sz w:val="24"/>
        </w:rPr>
        <w:t>精品，将资源开掘、市场开拓、用户服务向世界延伸，以更加开放的胸襟与视野，在合作与竞争中，加快迈向高端装备关键零部件及集成系统解决方案的国际化企业。</w:t>
      </w:r>
    </w:p>
    <w:p>
      <w:pPr>
        <w:pStyle w:val="6"/>
        <w:rPr>
          <w:rFonts w:hint="eastAsia"/>
          <w:lang w:val="en-US" w:eastAsia="zh-CN"/>
        </w:rPr>
      </w:pPr>
      <w:bookmarkStart w:id="21" w:name="_Toc15784"/>
      <w:r>
        <w:rPr>
          <w:rFonts w:hint="eastAsia"/>
          <w:lang w:val="en-US" w:eastAsia="zh-CN"/>
        </w:rPr>
        <w:t>1.3 企业简介</w:t>
      </w:r>
      <w:bookmarkEnd w:id="21"/>
    </w:p>
    <w:p>
      <w:pPr>
        <w:spacing w:line="360" w:lineRule="auto"/>
        <w:ind w:firstLine="480" w:firstLineChars="200"/>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戚墅堰所创建于1959年</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2000年</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走出国家事业单位序列，实现企业化转制，成为铁路科技创新型企业</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2008年，注册成立有限责任公司</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同年</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随</w:t>
      </w:r>
      <w:r>
        <w:rPr>
          <w:rFonts w:hint="eastAsia" w:asciiTheme="minorEastAsia" w:hAnsiTheme="minorEastAsia" w:eastAsiaTheme="minorEastAsia" w:cstheme="minorEastAsia"/>
          <w:sz w:val="24"/>
          <w:lang w:eastAsia="zh-CN"/>
        </w:rPr>
        <w:t>前</w:t>
      </w:r>
      <w:r>
        <w:rPr>
          <w:rFonts w:hint="eastAsia" w:asciiTheme="minorEastAsia" w:hAnsiTheme="minorEastAsia" w:eastAsiaTheme="minorEastAsia" w:cstheme="minorEastAsia"/>
          <w:sz w:val="24"/>
        </w:rPr>
        <w:t>中国南车在上海、香港证券交易所整体上市</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2015年</w:t>
      </w:r>
      <w:r>
        <w:rPr>
          <w:rFonts w:hint="eastAsia" w:asciiTheme="minorEastAsia" w:hAnsiTheme="minorEastAsia" w:eastAsiaTheme="minorEastAsia" w:cstheme="minorEastAsia"/>
          <w:sz w:val="24"/>
          <w:lang w:eastAsia="zh-CN"/>
        </w:rPr>
        <w:t>，随中国南车与中国北车合并，成为</w:t>
      </w:r>
      <w:r>
        <w:rPr>
          <w:rFonts w:hint="eastAsia" w:asciiTheme="minorEastAsia" w:hAnsiTheme="minorEastAsia" w:eastAsiaTheme="minorEastAsia" w:cstheme="minorEastAsia"/>
          <w:sz w:val="24"/>
        </w:rPr>
        <w:t>中国中车股份有限公司全资子公司</w:t>
      </w:r>
      <w:r>
        <w:rPr>
          <w:rFonts w:hint="eastAsia" w:asciiTheme="minorEastAsia" w:hAnsiTheme="minorEastAsia" w:eastAsiaTheme="minorEastAsia" w:cstheme="minorEastAsia"/>
          <w:sz w:val="24"/>
          <w:lang w:eastAsia="zh-CN"/>
        </w:rPr>
        <w:t>。</w:t>
      </w:r>
    </w:p>
    <w:p>
      <w:pPr>
        <w:spacing w:line="360" w:lineRule="auto"/>
        <w:jc w:val="center"/>
        <w:rPr>
          <w:rFonts w:hint="eastAsia" w:asciiTheme="minorEastAsia" w:hAnsiTheme="minorEastAsia" w:eastAsiaTheme="minorEastAsia" w:cstheme="minorEastAsia"/>
          <w:sz w:val="24"/>
          <w:lang w:val="en-US"/>
        </w:rPr>
      </w:pPr>
      <w:r>
        <w:rPr>
          <w:rFonts w:hint="eastAsia" w:asciiTheme="minorEastAsia" w:hAnsiTheme="minorEastAsia" w:eastAsiaTheme="minorEastAsia" w:cstheme="minorEastAsia"/>
          <w:color w:val="FF0000"/>
          <w:lang w:val="en-US" w:eastAsia="zh-CN"/>
        </w:rPr>
        <w:drawing>
          <wp:inline distT="0" distB="0" distL="114300" distR="114300">
            <wp:extent cx="2548890" cy="1598930"/>
            <wp:effectExtent l="0" t="0" r="3810" b="1270"/>
            <wp:docPr id="11" name="图片 1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
                    <pic:cNvPicPr>
                      <a:picLocks noChangeAspect="1"/>
                    </pic:cNvPicPr>
                  </pic:nvPicPr>
                  <pic:blipFill>
                    <a:blip r:embed="rId18"/>
                    <a:stretch>
                      <a:fillRect/>
                    </a:stretch>
                  </pic:blipFill>
                  <pic:spPr>
                    <a:xfrm>
                      <a:off x="0" y="0"/>
                      <a:ext cx="2548890" cy="1598930"/>
                    </a:xfrm>
                    <a:prstGeom prst="rect">
                      <a:avLst/>
                    </a:prstGeom>
                  </pic:spPr>
                </pic:pic>
              </a:graphicData>
            </a:graphic>
          </wp:inline>
        </w:drawing>
      </w:r>
      <w:r>
        <w:rPr>
          <w:rFonts w:hint="eastAsia" w:asciiTheme="minorEastAsia" w:hAnsiTheme="minorEastAsia" w:eastAsiaTheme="minorEastAsia" w:cstheme="minorEastAsia"/>
          <w:color w:val="FF0000"/>
          <w:lang w:val="en-US" w:eastAsia="zh-CN"/>
        </w:rPr>
        <w:t xml:space="preserve"> </w:t>
      </w:r>
      <w:r>
        <w:rPr>
          <w:rFonts w:hint="eastAsia" w:asciiTheme="minorEastAsia" w:hAnsiTheme="minorEastAsia" w:eastAsiaTheme="minorEastAsia" w:cstheme="minorEastAsia"/>
          <w:b/>
          <w:bCs/>
          <w:sz w:val="24"/>
          <w:lang w:val="en-US" w:eastAsia="zh-CN"/>
        </w:rPr>
        <w:drawing>
          <wp:inline distT="0" distB="0" distL="114300" distR="114300">
            <wp:extent cx="2586990" cy="1591945"/>
            <wp:effectExtent l="0" t="0" r="3810" b="8255"/>
            <wp:docPr id="12" name="图片 12" descr="PS_DSC_7931-2-1 x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S_DSC_7931-2-1 xiao"/>
                    <pic:cNvPicPr>
                      <a:picLocks noChangeAspect="1"/>
                    </pic:cNvPicPr>
                  </pic:nvPicPr>
                  <pic:blipFill>
                    <a:blip r:embed="rId19"/>
                    <a:stretch>
                      <a:fillRect/>
                    </a:stretch>
                  </pic:blipFill>
                  <pic:spPr>
                    <a:xfrm>
                      <a:off x="0" y="0"/>
                      <a:ext cx="2586990" cy="1591945"/>
                    </a:xfrm>
                    <a:prstGeom prst="rect">
                      <a:avLst/>
                    </a:prstGeom>
                  </pic:spPr>
                </pic:pic>
              </a:graphicData>
            </a:graphic>
          </wp:inline>
        </w:drawing>
      </w:r>
    </w:p>
    <w:p>
      <w:pPr>
        <w:spacing w:line="360" w:lineRule="auto"/>
        <w:ind w:firstLine="1687" w:firstLineChars="800"/>
        <w:jc w:val="both"/>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eastAsia="zh-CN"/>
        </w:rPr>
        <w:t>图</w:t>
      </w:r>
      <w:r>
        <w:rPr>
          <w:rFonts w:hint="eastAsia" w:asciiTheme="minorEastAsia" w:hAnsiTheme="minorEastAsia" w:eastAsiaTheme="minorEastAsia" w:cstheme="minorEastAsia"/>
          <w:b/>
          <w:bCs/>
          <w:sz w:val="21"/>
          <w:szCs w:val="21"/>
          <w:lang w:val="en-US" w:eastAsia="zh-CN"/>
        </w:rPr>
        <w:t>1-1 公司总部基地                     图1-2 公司总部大楼</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戚墅堰所现有正式员工3200余人，配备了758人的核心创新团队，其中博士9人、硕士483人，国务院特殊津贴获得者9名、国家中青年科技创新领军人才1名、茅以升、詹天佑获得者、省“333工程”专家人才共计30余名。</w:t>
      </w:r>
    </w:p>
    <w:p>
      <w:pPr>
        <w:spacing w:line="360" w:lineRule="auto"/>
        <w:ind w:firstLine="480" w:firstLineChars="20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rPr>
        <w:t>戚墅堰所</w:t>
      </w:r>
      <w:r>
        <w:rPr>
          <w:rFonts w:hint="eastAsia" w:asciiTheme="minorEastAsia" w:hAnsiTheme="minorEastAsia" w:eastAsiaTheme="minorEastAsia" w:cstheme="minorEastAsia"/>
          <w:sz w:val="24"/>
          <w:lang w:val="en-US" w:eastAsia="zh-CN"/>
        </w:rPr>
        <w:t>是中国轨道交通装备基础材料、基础工艺、基础零部件的专业研发机构及推广单位。现拥有总资产63亿余元，净资产近30亿元，固定资产近20亿元，占地面积近40万平方米，</w:t>
      </w:r>
      <w:r>
        <w:rPr>
          <w:rFonts w:hint="eastAsia" w:asciiTheme="minorEastAsia" w:hAnsiTheme="minorEastAsia" w:eastAsiaTheme="minorEastAsia" w:cstheme="minorEastAsia"/>
          <w:sz w:val="24"/>
          <w:highlight w:val="none"/>
          <w:lang w:val="en-US" w:eastAsia="zh-CN"/>
        </w:rPr>
        <w:t>具有年产近20000套齿轮传动装置、50000片闸片、12000只气动夹钳、50000只踏面清扫装置等的生产能力</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highlight w:val="none"/>
          <w:lang w:val="en-US" w:eastAsia="zh-CN"/>
        </w:rPr>
        <w:t>2020年实现销售收入43.7亿元。</w:t>
      </w:r>
    </w:p>
    <w:p>
      <w:pPr>
        <w:spacing w:line="360" w:lineRule="auto"/>
        <w:ind w:firstLine="480" w:firstLineChars="200"/>
        <w:rPr>
          <w:rFonts w:hint="eastAsia" w:asciiTheme="minorEastAsia" w:hAnsiTheme="minorEastAsia" w:eastAsiaTheme="minorEastAsia" w:cstheme="minorEastAsia"/>
          <w:sz w:val="24"/>
          <w:highlight w:val="none"/>
          <w:lang w:eastAsia="zh-CN"/>
        </w:rPr>
      </w:pPr>
      <w:r>
        <w:rPr>
          <w:rFonts w:hint="eastAsia" w:asciiTheme="minorEastAsia" w:hAnsiTheme="minorEastAsia" w:eastAsiaTheme="minorEastAsia" w:cstheme="minorEastAsia"/>
          <w:sz w:val="24"/>
          <w:highlight w:val="none"/>
          <w:lang w:eastAsia="zh-CN"/>
        </w:rPr>
        <w:t>经过60余年的经营沉淀，</w:t>
      </w:r>
      <w:r>
        <w:rPr>
          <w:rFonts w:hint="eastAsia" w:asciiTheme="minorEastAsia" w:hAnsiTheme="minorEastAsia" w:eastAsiaTheme="minorEastAsia" w:cstheme="minorEastAsia"/>
          <w:sz w:val="24"/>
        </w:rPr>
        <w:t>戚墅堰所</w:t>
      </w:r>
      <w:r>
        <w:rPr>
          <w:rFonts w:hint="eastAsia" w:asciiTheme="minorEastAsia" w:hAnsiTheme="minorEastAsia" w:eastAsiaTheme="minorEastAsia" w:cstheme="minorEastAsia"/>
          <w:sz w:val="24"/>
          <w:highlight w:val="none"/>
          <w:lang w:eastAsia="zh-CN"/>
        </w:rPr>
        <w:t>建立了高效的技术开发、市场营销、售后服务、生产制造等管理体系；先后通过ISO9001、ISO14001、</w:t>
      </w:r>
      <w:r>
        <w:rPr>
          <w:rFonts w:hint="eastAsia" w:asciiTheme="minorEastAsia" w:hAnsiTheme="minorEastAsia" w:eastAsiaTheme="minorEastAsia" w:cstheme="minorEastAsia"/>
          <w:sz w:val="24"/>
          <w:highlight w:val="none"/>
          <w:lang w:val="en-US" w:eastAsia="zh-CN"/>
        </w:rPr>
        <w:t>ISO45</w:t>
      </w:r>
      <w:r>
        <w:rPr>
          <w:rFonts w:hint="eastAsia" w:asciiTheme="minorEastAsia" w:hAnsiTheme="minorEastAsia" w:eastAsiaTheme="minorEastAsia" w:cstheme="minorEastAsia"/>
          <w:sz w:val="24"/>
          <w:highlight w:val="none"/>
          <w:lang w:eastAsia="zh-CN"/>
        </w:rPr>
        <w:t>001三体系和国际铁路行业IRIS认证，焊接</w:t>
      </w:r>
      <w:r>
        <w:rPr>
          <w:rFonts w:hint="eastAsia" w:asciiTheme="minorEastAsia" w:hAnsiTheme="minorEastAsia" w:eastAsiaTheme="minorEastAsia" w:cstheme="minorEastAsia"/>
          <w:sz w:val="24"/>
          <w:highlight w:val="none"/>
          <w:lang w:val="en-US" w:eastAsia="zh-CN"/>
        </w:rPr>
        <w:t>EN 15085和轨道交通类产品CRCC认证。</w:t>
      </w:r>
      <w:r>
        <w:rPr>
          <w:rFonts w:hint="eastAsia" w:asciiTheme="minorEastAsia" w:hAnsiTheme="minorEastAsia" w:eastAsiaTheme="minorEastAsia" w:cstheme="minorEastAsia"/>
          <w:sz w:val="24"/>
        </w:rPr>
        <w:t>戚墅堰所</w:t>
      </w:r>
      <w:r>
        <w:rPr>
          <w:rFonts w:hint="eastAsia" w:asciiTheme="minorEastAsia" w:hAnsiTheme="minorEastAsia" w:eastAsiaTheme="minorEastAsia" w:cstheme="minorEastAsia"/>
          <w:sz w:val="24"/>
          <w:highlight w:val="none"/>
          <w:lang w:eastAsia="zh-CN"/>
        </w:rPr>
        <w:t>引进了一系列先进的研发及试验装置，包含1:4摩擦磨损试验机、综合扭矩疲劳试验台、振动冲击试验台及1:1制动动力试验台等，搭建了完善的试验验证平台。</w:t>
      </w:r>
    </w:p>
    <w:p>
      <w:pPr>
        <w:spacing w:line="360" w:lineRule="auto"/>
        <w:ind w:firstLine="480" w:firstLineChars="20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rPr>
        <w:t>戚墅堰所注重管理与技术相互融合促进的发展理念，获得国家科技进步奖12项、中国工业大奖1项、中国好设计金奖1项、中国专利优秀奖1项、省部级奖励120余项，主持或参与制定国际标准12项，国家标准22项，行业标准660项，拥有专利872件。其中发明专利476件</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highlight w:val="none"/>
          <w:lang w:val="en-US" w:eastAsia="zh-CN"/>
        </w:rPr>
        <w:t>建有国家级企业技术中心、国家级博士后科研工作站、国家认可的实验室，省级工程技术研究中心、省级院士工作站和省级重点实验室等研发平台。被授予国家技术创新示范企业、国家高新技术企业、国家知识产权示范企业、国家制造业单项冠军示范企业、江苏省双创示范基地。</w:t>
      </w:r>
    </w:p>
    <w:p>
      <w:pPr>
        <w:adjustRightInd w:val="0"/>
        <w:snapToGrid w:val="0"/>
        <w:jc w:val="center"/>
        <w:rPr>
          <w:rFonts w:ascii="宋体" w:hAnsi="宋体" w:eastAsia="宋体" w:cs="宋体"/>
          <w:sz w:val="24"/>
          <w:szCs w:val="32"/>
          <w:lang w:val="zh-CN"/>
        </w:rPr>
      </w:pPr>
      <w:r>
        <w:rPr>
          <w:rFonts w:hint="eastAsia" w:ascii="宋体" w:hAnsi="宋体" w:eastAsia="宋体" w:cs="宋体"/>
        </w:rPr>
        <w:drawing>
          <wp:inline distT="0" distB="0" distL="114300" distR="114300">
            <wp:extent cx="1417320" cy="1887855"/>
            <wp:effectExtent l="0" t="0" r="11430" b="17145"/>
            <wp:docPr id="13" name="图片 13" descr="微信图片_2019111311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91113115111"/>
                    <pic:cNvPicPr>
                      <a:picLocks noChangeAspect="1"/>
                    </pic:cNvPicPr>
                  </pic:nvPicPr>
                  <pic:blipFill>
                    <a:blip r:embed="rId20"/>
                    <a:srcRect l="8421" t="3279" r="7739" b="3779"/>
                    <a:stretch>
                      <a:fillRect/>
                    </a:stretch>
                  </pic:blipFill>
                  <pic:spPr>
                    <a:xfrm>
                      <a:off x="0" y="0"/>
                      <a:ext cx="1417320" cy="1887855"/>
                    </a:xfrm>
                    <a:prstGeom prst="rect">
                      <a:avLst/>
                    </a:prstGeom>
                  </pic:spPr>
                </pic:pic>
              </a:graphicData>
            </a:graphic>
          </wp:inline>
        </w:drawing>
      </w:r>
      <w:r>
        <w:rPr>
          <w:rFonts w:hint="eastAsia" w:ascii="宋体" w:hAnsi="宋体" w:eastAsia="宋体" w:cs="宋体"/>
        </w:rPr>
        <w:drawing>
          <wp:inline distT="0" distB="0" distL="114300" distR="114300">
            <wp:extent cx="3822065" cy="1918335"/>
            <wp:effectExtent l="0" t="0" r="6985" b="571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1"/>
                    <a:stretch>
                      <a:fillRect/>
                    </a:stretch>
                  </pic:blipFill>
                  <pic:spPr>
                    <a:xfrm>
                      <a:off x="0" y="0"/>
                      <a:ext cx="3822065" cy="19183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zh-CN" w:eastAsia="zh-CN"/>
        </w:rPr>
        <w:t>图</w:t>
      </w:r>
      <w:r>
        <w:rPr>
          <w:rFonts w:hint="eastAsia" w:asciiTheme="minorEastAsia" w:hAnsiTheme="minorEastAsia" w:eastAsiaTheme="minorEastAsia" w:cstheme="minorEastAsia"/>
          <w:b/>
          <w:bCs/>
          <w:sz w:val="21"/>
          <w:szCs w:val="21"/>
          <w:lang w:val="en-US" w:eastAsia="zh-CN"/>
        </w:rPr>
        <w:t>1-3 公司管理和技术奖励</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站在新的历史起点上，中车戚墅堰所将秉持“正心正道，善为善成”的核心价值观，从</w:t>
      </w:r>
    </w:p>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容应对各种机遇与挑战，将资源开掘、市场开拓、用户服务向世界延伸，以更加开放的胸襟</w:t>
      </w:r>
    </w:p>
    <w:p>
      <w:pPr>
        <w:spacing w:line="360" w:lineRule="auto"/>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与视野，在合作与竞争中，加快迈向高端装备关键零部件及集成系统解决方案的国际化企业。</w:t>
      </w:r>
    </w:p>
    <w:bookmarkEnd w:id="16"/>
    <w:p>
      <w:pPr>
        <w:pStyle w:val="4"/>
        <w:rPr>
          <w:rFonts w:hint="eastAsia"/>
          <w:lang w:eastAsia="zh-CN"/>
        </w:rPr>
      </w:pPr>
      <w:bookmarkStart w:id="22" w:name="_Toc15563"/>
      <w:r>
        <w:rPr>
          <w:rFonts w:hint="eastAsia"/>
          <w:lang w:val="en-US" w:eastAsia="zh-CN"/>
        </w:rPr>
        <w:t>2</w:t>
      </w:r>
      <w:r>
        <w:rPr>
          <w:rFonts w:hint="eastAsia"/>
        </w:rPr>
        <w:t xml:space="preserve"> </w:t>
      </w:r>
      <w:r>
        <w:rPr>
          <w:rFonts w:hint="eastAsia"/>
          <w:lang w:eastAsia="zh-CN"/>
        </w:rPr>
        <w:t>报告正文</w:t>
      </w:r>
      <w:bookmarkEnd w:id="22"/>
    </w:p>
    <w:p>
      <w:pPr>
        <w:pStyle w:val="6"/>
        <w:numPr>
          <w:ilvl w:val="0"/>
          <w:numId w:val="0"/>
        </w:numPr>
        <w:ind w:leftChars="0"/>
        <w:rPr>
          <w:rFonts w:hint="eastAsia"/>
          <w:lang w:val="en-US" w:eastAsia="zh-CN"/>
        </w:rPr>
      </w:pPr>
      <w:bookmarkStart w:id="23" w:name="_Toc8554"/>
      <w:r>
        <w:rPr>
          <w:rFonts w:hint="eastAsia"/>
          <w:lang w:val="en-US" w:eastAsia="zh-CN"/>
        </w:rPr>
        <w:t>2.1 企业质量理念</w:t>
      </w:r>
      <w:bookmarkEnd w:id="23"/>
    </w:p>
    <w:p>
      <w:pPr>
        <w:spacing w:line="360" w:lineRule="auto"/>
        <w:ind w:firstLine="480" w:firstLineChars="200"/>
        <w:rPr>
          <w:rFonts w:hint="eastAsia"/>
          <w:sz w:val="24"/>
          <w:szCs w:val="24"/>
          <w:highlight w:val="none"/>
          <w:lang w:val="en-US" w:eastAsia="zh-CN"/>
        </w:rPr>
      </w:pPr>
      <w:r>
        <w:rPr>
          <w:rFonts w:hint="eastAsia"/>
          <w:sz w:val="24"/>
          <w:szCs w:val="24"/>
          <w:highlight w:val="none"/>
          <w:lang w:val="en-US" w:eastAsia="zh-CN"/>
        </w:rPr>
        <w:t>戚墅堰所始终坚持“戚所制造，质赢未来”的质量理念，持续推行质量改进活动。戚墅堰所依据ISO/TS 22163、ISO9001、中车“Q”等标准建立完整的质量管理体系，覆盖营销、设计、采购、生产、售后服务等全过程，明确各部门职责分工，通过质量考核、内部及专项审核机制监督各项职责的履行和落实。</w:t>
      </w:r>
    </w:p>
    <w:p>
      <w:pPr>
        <w:spacing w:line="360" w:lineRule="auto"/>
        <w:ind w:firstLine="480" w:firstLineChars="200"/>
        <w:rPr>
          <w:rFonts w:hint="eastAsia"/>
          <w:sz w:val="24"/>
          <w:szCs w:val="24"/>
          <w:highlight w:val="none"/>
          <w:lang w:val="en-US" w:eastAsia="zh-CN"/>
        </w:rPr>
      </w:pPr>
      <w:r>
        <w:rPr>
          <w:rFonts w:hint="eastAsia"/>
          <w:sz w:val="24"/>
          <w:szCs w:val="24"/>
          <w:highlight w:val="none"/>
          <w:lang w:val="en-US" w:eastAsia="zh-CN"/>
        </w:rPr>
        <w:t>戚墅堰所鼓励持续改进，针对惯性、难点质量问题开展质量攻关、QC改进，提高实物质量，建立质量例会和月报机制，利用质量信息平台数据，及时分析、处置内外部质量问题；建立产品质量安全风险动态数据库，开展源头质量安全隐患排查整治，通过质量月、质量安全月、质量安全大检查、专项服务保障等专项工作平台提升全员质量安全风险意识；制定质量损失控制指标，严把产品或工序的关键节点，建立领导包保机制，确保产品和服务质量安全。</w:t>
      </w:r>
    </w:p>
    <w:p>
      <w:pPr>
        <w:spacing w:line="360" w:lineRule="auto"/>
        <w:ind w:firstLine="480" w:firstLineChars="200"/>
        <w:rPr>
          <w:rFonts w:hint="eastAsia"/>
          <w:sz w:val="24"/>
          <w:szCs w:val="24"/>
          <w:highlight w:val="none"/>
          <w:lang w:val="en-US" w:eastAsia="zh-CN"/>
        </w:rPr>
      </w:pPr>
      <w:r>
        <w:rPr>
          <w:rFonts w:hint="eastAsia"/>
          <w:sz w:val="24"/>
          <w:szCs w:val="24"/>
          <w:highlight w:val="none"/>
          <w:lang w:val="en-US" w:eastAsia="zh-CN"/>
        </w:rPr>
        <w:t>戚墅堰所严格按照不合格分级要求进行批准控制，出厂检验按照相应的出厂检验细则进行实物抽查和资料核查，实物和资料核查通过后方可开具产品质量合格证。在严格管控生产质量的同时，公司也建立了完善的服务机制，确保仓储、运输、安装以及用户在使用过程中发生的问题能够得到及时有效的解决。</w:t>
      </w:r>
    </w:p>
    <w:p>
      <w:pPr>
        <w:spacing w:line="360" w:lineRule="auto"/>
        <w:ind w:firstLine="480" w:firstLineChars="200"/>
        <w:rPr>
          <w:rFonts w:hint="eastAsia" w:cs="Times New Roman"/>
          <w:sz w:val="24"/>
          <w:szCs w:val="24"/>
          <w:highlight w:val="none"/>
          <w:lang w:val="en-US" w:eastAsia="zh-CN"/>
        </w:rPr>
      </w:pPr>
      <w:r>
        <w:rPr>
          <w:rFonts w:hint="eastAsia" w:cs="Times New Roman"/>
          <w:sz w:val="24"/>
          <w:szCs w:val="24"/>
          <w:highlight w:val="none"/>
          <w:lang w:val="en-US" w:eastAsia="zh-CN"/>
        </w:rPr>
        <w:t>戚墅堰所凭借长久以来诚信务实的合作精神、强大的研发生产实力和过硬的产品质量获得行业认可。公司以“技术+营销”双轮驱动组合模式拓展市场，通过与主机企业技术和市场的多层面融合，稳步开展重点产品开发和市场投放，坚持以提升客户价值为导向，不断优化客户服务体系，与中车内部子公司、铁路局、汽车零部件商、船用公司、风电公司等客户建立了良好的合作关系。</w:t>
      </w:r>
    </w:p>
    <w:p>
      <w:pPr>
        <w:pStyle w:val="6"/>
        <w:numPr>
          <w:ilvl w:val="0"/>
          <w:numId w:val="0"/>
        </w:numPr>
        <w:ind w:leftChars="0"/>
        <w:rPr>
          <w:rFonts w:hint="eastAsia"/>
          <w:lang w:val="en-US" w:eastAsia="zh-CN"/>
        </w:rPr>
      </w:pPr>
      <w:bookmarkStart w:id="24" w:name="_Toc3943"/>
      <w:r>
        <w:rPr>
          <w:rFonts w:hint="eastAsia"/>
          <w:lang w:val="en-US" w:eastAsia="zh-CN"/>
        </w:rPr>
        <w:t>2.2 企业质量管理</w:t>
      </w:r>
      <w:bookmarkEnd w:id="24"/>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Chars="0" w:right="0" w:rightChars="0" w:firstLine="241" w:firstLineChars="100"/>
        <w:jc w:val="both"/>
        <w:textAlignment w:val="auto"/>
        <w:outlineLvl w:val="9"/>
        <w:rPr>
          <w:rFonts w:hint="eastAsia" w:cs="Times New Roman"/>
          <w:b/>
          <w:bCs w:val="0"/>
          <w:sz w:val="24"/>
          <w:szCs w:val="24"/>
          <w:lang w:val="en-US" w:eastAsia="zh-CN"/>
        </w:rPr>
      </w:pPr>
      <w:r>
        <w:rPr>
          <w:rFonts w:hint="eastAsia" w:cs="Times New Roman"/>
          <w:b/>
          <w:bCs w:val="0"/>
          <w:sz w:val="24"/>
          <w:szCs w:val="24"/>
          <w:lang w:val="en-US" w:eastAsia="zh-CN"/>
        </w:rPr>
        <w:t>质量管理机构</w:t>
      </w:r>
    </w:p>
    <w:p>
      <w:pPr>
        <w:spacing w:line="360" w:lineRule="auto"/>
        <w:ind w:firstLine="480" w:firstLineChars="200"/>
        <w:rPr>
          <w:rFonts w:hint="eastAsia" w:cs="Times New Roman"/>
          <w:sz w:val="24"/>
          <w:szCs w:val="24"/>
          <w:highlight w:val="none"/>
          <w:lang w:val="en-US" w:eastAsia="zh-CN"/>
        </w:rPr>
      </w:pPr>
      <w:r>
        <w:rPr>
          <w:rFonts w:hint="eastAsia" w:cs="Times New Roman"/>
          <w:sz w:val="24"/>
          <w:szCs w:val="24"/>
          <w:highlight w:val="none"/>
          <w:lang w:val="en-US" w:eastAsia="zh-CN"/>
        </w:rPr>
        <w:t>戚墅堰所成立以总经理为首，管理者代表、首席质量官共同辅助的质量管理组织。总部质量管理机构由质量部担任并设专职人员负责全公司的质量管理和质量考核工作，各子公司、事业部设立相应的质量管理组织，负责本部门的质量管理工作。戚墅堰所建立健全的质量保证体系，明确了质量职责和权限及相关激励措施等，确保质量工作正常实施。</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sz w:val="24"/>
          <w:szCs w:val="24"/>
          <w:highlight w:val="none"/>
          <w:lang w:val="en-US" w:eastAsia="zh-CN"/>
        </w:rPr>
      </w:pPr>
      <w:r>
        <w:rPr>
          <w:rFonts w:hint="eastAsia" w:ascii="宋体" w:hAnsi="宋体"/>
          <w:sz w:val="24"/>
          <w:szCs w:val="24"/>
          <w:lang w:val="en-US" w:eastAsia="zh-CN"/>
        </w:rPr>
        <w:object>
          <v:shape id="_x0000_i1027" o:spt="75" type="#_x0000_t75" style="height:289.55pt;width:474.3pt;" o:ole="t" filled="f" o:preferrelative="t" stroked="f" coordsize="21600,21600">
            <v:path/>
            <v:fill on="f" focussize="0,0"/>
            <v:stroke on="f"/>
            <v:imagedata r:id="rId23" o:title=""/>
            <o:lock v:ext="edit" aspectratio="t"/>
            <w10:wrap type="none"/>
            <w10:anchorlock/>
          </v:shape>
          <o:OLEObject Type="Embed" ProgID="Visio.Drawing.11" ShapeID="_x0000_i1027" DrawAspect="Content" ObjectID="_1468075729" r:id="rId22">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zh-CN" w:eastAsia="zh-CN"/>
        </w:rPr>
        <w:t>图</w:t>
      </w:r>
      <w:r>
        <w:rPr>
          <w:rFonts w:hint="eastAsia" w:asciiTheme="minorEastAsia" w:hAnsiTheme="minorEastAsia" w:eastAsiaTheme="minorEastAsia" w:cstheme="minorEastAsia"/>
          <w:b/>
          <w:bCs/>
          <w:sz w:val="21"/>
          <w:szCs w:val="21"/>
          <w:lang w:val="en-US" w:eastAsia="zh-CN"/>
        </w:rPr>
        <w:t>2-1 质量管理组织架构</w:t>
      </w:r>
    </w:p>
    <w:p>
      <w:pPr>
        <w:spacing w:line="360" w:lineRule="auto"/>
        <w:ind w:firstLine="480" w:firstLineChars="200"/>
        <w:rPr>
          <w:rFonts w:hint="eastAsia"/>
          <w:sz w:val="24"/>
          <w:szCs w:val="24"/>
          <w:highlight w:val="none"/>
          <w:lang w:val="en-US" w:eastAsia="zh-CN"/>
        </w:rPr>
      </w:pPr>
      <w:r>
        <w:rPr>
          <w:rFonts w:hint="eastAsia"/>
          <w:sz w:val="24"/>
          <w:szCs w:val="24"/>
          <w:highlight w:val="none"/>
          <w:lang w:val="en-US" w:eastAsia="zh-CN"/>
        </w:rPr>
        <w:t>戚墅堰所质量部具体负责公司整体质量策划、质量体系建设与维护、产品认证、质量监督与控制、质量信息管理、质量人员能力提升以及公司轨道交通传动、钩缓制动产品出厂检验等工作。</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Chars="0" w:right="0" w:rightChars="0" w:firstLine="241" w:firstLineChars="100"/>
        <w:jc w:val="both"/>
        <w:textAlignment w:val="auto"/>
        <w:outlineLvl w:val="9"/>
        <w:rPr>
          <w:rFonts w:hint="eastAsia" w:cs="Times New Roman"/>
          <w:b/>
          <w:bCs w:val="0"/>
          <w:sz w:val="24"/>
          <w:szCs w:val="24"/>
          <w:lang w:val="en-US" w:eastAsia="zh-CN"/>
        </w:rPr>
      </w:pPr>
      <w:r>
        <w:rPr>
          <w:rFonts w:hint="eastAsia" w:cs="Times New Roman"/>
          <w:b/>
          <w:bCs w:val="0"/>
          <w:sz w:val="24"/>
          <w:szCs w:val="24"/>
          <w:lang w:val="en-US" w:eastAsia="zh-CN"/>
        </w:rPr>
        <w:t>质量管理体系</w:t>
      </w:r>
    </w:p>
    <w:p>
      <w:pPr>
        <w:spacing w:line="360" w:lineRule="auto"/>
        <w:ind w:firstLine="480" w:firstLineChars="200"/>
        <w:rPr>
          <w:rFonts w:hint="eastAsia" w:cs="Times New Roman"/>
          <w:sz w:val="24"/>
          <w:szCs w:val="24"/>
          <w:highlight w:val="none"/>
          <w:lang w:val="en-US" w:eastAsia="zh-CN"/>
        </w:rPr>
      </w:pPr>
      <w:r>
        <w:rPr>
          <w:rFonts w:hint="eastAsia" w:cs="Times New Roman"/>
          <w:sz w:val="24"/>
          <w:szCs w:val="24"/>
          <w:highlight w:val="none"/>
          <w:lang w:val="en-US" w:eastAsia="zh-CN"/>
        </w:rPr>
        <w:t>戚墅堰所通过实施ISO/TS 22163、ISO9001、中车“Q”质量管理体系等系列标准，不断优化资源整合，修订、完善公司管理流程，建立健全适应本企业实际的质量管理体系，落实管理工作中的各项质量责任、各质量目标，确保质量管理体系有效运行，推进公司可持续发展。</w:t>
      </w:r>
    </w:p>
    <w:p>
      <w:pPr>
        <w:pStyle w:val="2"/>
        <w:ind w:left="0" w:leftChars="0" w:firstLine="480" w:firstLineChars="200"/>
        <w:rPr>
          <w:rFonts w:hint="eastAsia" w:cs="Times New Roman"/>
          <w:sz w:val="24"/>
          <w:szCs w:val="24"/>
          <w:highlight w:val="none"/>
          <w:lang w:val="en-US" w:eastAsia="zh-CN"/>
        </w:rPr>
      </w:pPr>
      <w:r>
        <w:rPr>
          <w:rFonts w:hint="eastAsia" w:cs="Times New Roman"/>
          <w:sz w:val="24"/>
          <w:szCs w:val="24"/>
          <w:highlight w:val="none"/>
          <w:lang w:val="en-US" w:eastAsia="zh-CN"/>
        </w:rPr>
        <w:t>公司先后通过中国质量协会管理体系优秀实践企业、全面质量管理杰出推进单位、武进区区长质量奖、常州市市长质量提名奖等多项奖励。</w:t>
      </w:r>
    </w:p>
    <w:p>
      <w:pPr>
        <w:pStyle w:val="2"/>
        <w:keepNext w:val="0"/>
        <w:keepLines w:val="0"/>
        <w:pageBreakBefore w:val="0"/>
        <w:widowControl w:val="0"/>
        <w:kinsoku/>
        <w:wordWrap/>
        <w:overflowPunct/>
        <w:topLinePunct w:val="0"/>
        <w:autoSpaceDE/>
        <w:autoSpaceDN/>
        <w:bidi w:val="0"/>
        <w:adjustRightInd/>
        <w:snapToGrid/>
        <w:ind w:left="0" w:leftChars="0" w:firstLine="0"/>
        <w:jc w:val="center"/>
        <w:textAlignment w:val="auto"/>
        <w:outlineLvl w:val="9"/>
        <w:rPr>
          <w:rFonts w:hint="eastAsia" w:cs="Times New Roman"/>
          <w:sz w:val="24"/>
          <w:szCs w:val="24"/>
          <w:highlight w:val="none"/>
          <w:lang w:val="en-US" w:eastAsia="zh-CN"/>
        </w:rPr>
      </w:pPr>
      <w:r>
        <w:drawing>
          <wp:inline distT="0" distB="0" distL="114300" distR="114300">
            <wp:extent cx="2000250" cy="1431925"/>
            <wp:effectExtent l="0" t="0" r="0" b="15875"/>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pic:cNvPicPr>
                  </pic:nvPicPr>
                  <pic:blipFill>
                    <a:blip r:embed="rId24"/>
                    <a:stretch>
                      <a:fillRect/>
                    </a:stretch>
                  </pic:blipFill>
                  <pic:spPr>
                    <a:xfrm>
                      <a:off x="0" y="0"/>
                      <a:ext cx="2000250" cy="1431925"/>
                    </a:xfrm>
                    <a:prstGeom prst="rect">
                      <a:avLst/>
                    </a:prstGeom>
                    <a:noFill/>
                    <a:ln w="9525">
                      <a:noFill/>
                    </a:ln>
                  </pic:spPr>
                </pic:pic>
              </a:graphicData>
            </a:graphic>
          </wp:inline>
        </w:drawing>
      </w:r>
      <w:r>
        <w:drawing>
          <wp:inline distT="0" distB="0" distL="114300" distR="114300">
            <wp:extent cx="1908810" cy="1365885"/>
            <wp:effectExtent l="9525" t="9525" r="24765" b="15240"/>
            <wp:docPr id="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
                    <pic:cNvPicPr>
                      <a:picLocks noChangeAspect="1"/>
                    </pic:cNvPicPr>
                  </pic:nvPicPr>
                  <pic:blipFill>
                    <a:blip r:embed="rId25"/>
                    <a:stretch>
                      <a:fillRect/>
                    </a:stretch>
                  </pic:blipFill>
                  <pic:spPr>
                    <a:xfrm>
                      <a:off x="0" y="0"/>
                      <a:ext cx="1908810" cy="1365885"/>
                    </a:xfrm>
                    <a:prstGeom prst="rect">
                      <a:avLst/>
                    </a:prstGeom>
                    <a:noFill/>
                    <a:ln w="9525">
                      <a:solidFill>
                        <a:schemeClr val="tx1"/>
                      </a:solidFill>
                    </a:ln>
                  </pic:spPr>
                </pic:pic>
              </a:graphicData>
            </a:graphic>
          </wp:inline>
        </w:drawing>
      </w:r>
      <w:r>
        <w:drawing>
          <wp:inline distT="0" distB="0" distL="114300" distR="114300">
            <wp:extent cx="1629410" cy="1379220"/>
            <wp:effectExtent l="9525" t="9525" r="18415" b="20955"/>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26"/>
                    <a:stretch>
                      <a:fillRect/>
                    </a:stretch>
                  </pic:blipFill>
                  <pic:spPr>
                    <a:xfrm>
                      <a:off x="0" y="0"/>
                      <a:ext cx="1629410" cy="1379220"/>
                    </a:xfrm>
                    <a:prstGeom prst="rect">
                      <a:avLst/>
                    </a:prstGeom>
                    <a:noFill/>
                    <a:ln w="9525">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zh-CN" w:eastAsia="zh-CN"/>
        </w:rPr>
        <w:t>图</w:t>
      </w:r>
      <w:r>
        <w:rPr>
          <w:rFonts w:hint="eastAsia" w:asciiTheme="minorEastAsia" w:hAnsiTheme="minorEastAsia" w:eastAsiaTheme="minorEastAsia" w:cstheme="minorEastAsia"/>
          <w:b/>
          <w:bCs/>
          <w:sz w:val="21"/>
          <w:szCs w:val="21"/>
          <w:lang w:val="en-US" w:eastAsia="zh-CN"/>
        </w:rPr>
        <w:t>2-2 部分质量奖励</w:t>
      </w:r>
    </w:p>
    <w:p>
      <w:pPr>
        <w:spacing w:line="360" w:lineRule="auto"/>
        <w:ind w:firstLine="480" w:firstLineChars="200"/>
        <w:rPr>
          <w:rFonts w:hint="eastAsia" w:cs="Times New Roman"/>
          <w:sz w:val="24"/>
          <w:szCs w:val="24"/>
          <w:highlight w:val="none"/>
          <w:lang w:val="en-US" w:eastAsia="zh-CN"/>
        </w:rPr>
      </w:pPr>
      <w:r>
        <w:rPr>
          <w:rFonts w:hint="eastAsia" w:cs="Times New Roman"/>
          <w:sz w:val="24"/>
          <w:szCs w:val="24"/>
          <w:highlight w:val="none"/>
          <w:lang w:val="en-US" w:eastAsia="zh-CN"/>
        </w:rPr>
        <w:t>戚墅堰所建立了一套科学合理的管理程序，规范指导产品实现的整个过程，确保质量管理体系有效、顺畅。</w:t>
      </w:r>
    </w:p>
    <w:p>
      <w:pPr>
        <w:spacing w:line="360" w:lineRule="auto"/>
        <w:ind w:firstLine="480" w:firstLineChars="200"/>
        <w:rPr>
          <w:rFonts w:hint="eastAsia" w:cs="Times New Roman"/>
          <w:sz w:val="24"/>
          <w:szCs w:val="24"/>
          <w:highlight w:val="none"/>
          <w:lang w:val="en-US" w:eastAsia="zh-CN"/>
        </w:rPr>
      </w:pPr>
      <w:r>
        <w:rPr>
          <w:rFonts w:hint="eastAsia" w:cs="Times New Roman"/>
          <w:sz w:val="24"/>
          <w:szCs w:val="24"/>
          <w:highlight w:val="none"/>
          <w:lang w:val="en-US" w:eastAsia="zh-CN"/>
        </w:rPr>
        <w:t>戚墅堰所根据公司质量目标，分解下发各部门指标，定期开展质量目标实施检查工作，对检查中发现的问题，及时反馈，同时以顾客为关注焦点，以用户满意度为测量标准，确保质量目标持续改进。</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Chars="0" w:right="0" w:rightChars="0" w:firstLine="241" w:firstLineChars="100"/>
        <w:jc w:val="both"/>
        <w:textAlignment w:val="auto"/>
        <w:outlineLvl w:val="9"/>
        <w:rPr>
          <w:rFonts w:hint="eastAsia" w:cs="Times New Roman"/>
          <w:b/>
          <w:bCs w:val="0"/>
          <w:sz w:val="24"/>
          <w:szCs w:val="24"/>
          <w:lang w:val="en-US" w:eastAsia="zh-CN"/>
        </w:rPr>
      </w:pPr>
      <w:r>
        <w:rPr>
          <w:rFonts w:hint="eastAsia" w:cs="Times New Roman"/>
          <w:b/>
          <w:bCs w:val="0"/>
          <w:sz w:val="24"/>
          <w:szCs w:val="24"/>
          <w:lang w:val="en-US" w:eastAsia="zh-CN"/>
        </w:rPr>
        <w:t>质量安全风险管理</w:t>
      </w:r>
    </w:p>
    <w:p>
      <w:pPr>
        <w:spacing w:line="360" w:lineRule="auto"/>
        <w:ind w:firstLine="480" w:firstLineChars="200"/>
        <w:rPr>
          <w:rFonts w:hint="eastAsia"/>
          <w:sz w:val="24"/>
          <w:szCs w:val="24"/>
          <w:highlight w:val="none"/>
          <w:lang w:val="en-US" w:eastAsia="zh-CN"/>
        </w:rPr>
      </w:pPr>
      <w:r>
        <w:rPr>
          <w:rFonts w:hint="eastAsia"/>
          <w:sz w:val="24"/>
          <w:szCs w:val="24"/>
          <w:highlight w:val="none"/>
          <w:lang w:val="en-US" w:eastAsia="zh-CN"/>
        </w:rPr>
        <w:t>戚墅堰所密切关注内外部环境中的潜在风险，积极采取风险预防措施，建立《全面风险管理办法》，在国家政策、市场需求、产品质量、运营管理等方面推行风险监测。戚墅堰所制定《质量问题管理办法》、《不合格控制程序》、《轨道交通关键零部件出厂检验管理办法》等一系列质量管理文件，对不合格品和不合格过程进行严格管控，对质量事故进行责任追究和处理。</w:t>
      </w:r>
    </w:p>
    <w:p>
      <w:pPr>
        <w:spacing w:line="360" w:lineRule="auto"/>
        <w:ind w:firstLine="480" w:firstLineChars="200"/>
        <w:rPr>
          <w:rFonts w:hint="eastAsia"/>
          <w:sz w:val="24"/>
          <w:szCs w:val="24"/>
          <w:highlight w:val="none"/>
          <w:lang w:val="en-US" w:eastAsia="zh-CN"/>
        </w:rPr>
      </w:pPr>
      <w:r>
        <w:rPr>
          <w:rFonts w:hint="eastAsia"/>
          <w:sz w:val="24"/>
          <w:szCs w:val="24"/>
          <w:highlight w:val="none"/>
          <w:lang w:val="en-US" w:eastAsia="zh-CN"/>
        </w:rPr>
        <w:t>戚墅堰所客户服务部为产品售后服务主体，负责客户售前、售中、售后一切投诉接待、投诉处理的协调和落实、监督管理；对顾客抱怨、投诉等信息进行责任落实，每年进行一次顾客满意度调查，对顾客潜在不满进行分析，并将整改落实到责任部门。</w:t>
      </w:r>
    </w:p>
    <w:p>
      <w:pPr>
        <w:spacing w:line="360" w:lineRule="auto"/>
        <w:ind w:firstLine="480" w:firstLineChars="200"/>
        <w:rPr>
          <w:rFonts w:hint="eastAsia"/>
          <w:sz w:val="24"/>
          <w:szCs w:val="24"/>
          <w:highlight w:val="none"/>
          <w:lang w:val="en-US" w:eastAsia="zh-CN"/>
        </w:rPr>
      </w:pPr>
      <w:r>
        <w:rPr>
          <w:rFonts w:hint="eastAsia"/>
          <w:sz w:val="24"/>
          <w:szCs w:val="24"/>
          <w:highlight w:val="none"/>
          <w:lang w:val="en-US" w:eastAsia="zh-CN"/>
        </w:rPr>
        <w:t>戚墅堰所建立《产品质量安全风险手册》，定期开展质量安全月、质量月、质量安全专项检查等活动，并对产品质量安全风险库进行更新，定期总结、分析阶段性的质量状况，采取有针对性的解决方案，不断优化和改进质量管理手段和关注点，为全面降低质量安全风险提供系统保障。</w:t>
      </w:r>
    </w:p>
    <w:p>
      <w:pPr>
        <w:spacing w:line="360" w:lineRule="auto"/>
        <w:ind w:firstLine="480" w:firstLineChars="200"/>
        <w:rPr>
          <w:rFonts w:hint="eastAsia" w:cs="Times New Roman"/>
          <w:sz w:val="24"/>
          <w:szCs w:val="24"/>
          <w:highlight w:val="none"/>
          <w:lang w:val="en-US" w:eastAsia="zh-CN"/>
        </w:rPr>
      </w:pPr>
      <w:r>
        <w:rPr>
          <w:rFonts w:hint="eastAsia" w:cs="Times New Roman"/>
          <w:sz w:val="24"/>
          <w:szCs w:val="24"/>
          <w:highlight w:val="none"/>
          <w:lang w:val="en-US" w:eastAsia="zh-CN"/>
        </w:rPr>
        <w:t>生产过程严格遵守作业指导书要求，关键工序、特殊过程等设立停止点进行严格把关，产品包装出运严格遵守产品防护管理制度，依据相关制度定期对产品进行审查，严格按照国家和行业标准检测产品质量，确保出厂产品100%符合标准要求，并按照国家和行业要求送授权机构检测。</w:t>
      </w:r>
    </w:p>
    <w:p>
      <w:pPr>
        <w:pStyle w:val="6"/>
        <w:numPr>
          <w:ilvl w:val="0"/>
          <w:numId w:val="0"/>
        </w:numPr>
        <w:ind w:leftChars="0"/>
        <w:rPr>
          <w:rFonts w:hint="eastAsia"/>
          <w:lang w:val="en-US" w:eastAsia="zh-CN"/>
        </w:rPr>
      </w:pPr>
      <w:bookmarkStart w:id="25" w:name="_Toc27670"/>
      <w:r>
        <w:rPr>
          <w:rFonts w:hint="eastAsia"/>
          <w:lang w:val="en-US" w:eastAsia="zh-CN"/>
        </w:rPr>
        <w:t>2.3 质量诚信管理</w:t>
      </w:r>
      <w:bookmarkEnd w:id="25"/>
    </w:p>
    <w:p>
      <w:pPr>
        <w:pStyle w:val="6"/>
        <w:numPr>
          <w:ilvl w:val="0"/>
          <w:numId w:val="0"/>
        </w:numPr>
        <w:ind w:leftChars="0" w:firstLine="482" w:firstLineChars="200"/>
        <w:rPr>
          <w:rFonts w:hint="eastAsia" w:cs="Times New Roman"/>
          <w:b/>
          <w:bCs w:val="0"/>
          <w:sz w:val="24"/>
          <w:szCs w:val="24"/>
          <w:lang w:val="en-US" w:eastAsia="zh-CN"/>
        </w:rPr>
      </w:pPr>
      <w:bookmarkStart w:id="26" w:name="_Toc13192"/>
      <w:r>
        <w:rPr>
          <w:rFonts w:hint="eastAsia" w:cs="Times New Roman"/>
          <w:b/>
          <w:bCs w:val="0"/>
          <w:sz w:val="24"/>
          <w:szCs w:val="24"/>
          <w:lang w:val="en-US" w:eastAsia="zh-CN"/>
        </w:rPr>
        <w:t>（1）质量承诺</w:t>
      </w:r>
      <w:bookmarkEnd w:id="26"/>
    </w:p>
    <w:p>
      <w:pPr>
        <w:spacing w:line="360" w:lineRule="auto"/>
        <w:ind w:firstLine="480" w:firstLineChars="200"/>
        <w:rPr>
          <w:rFonts w:hint="eastAsia"/>
          <w:sz w:val="24"/>
          <w:szCs w:val="24"/>
          <w:highlight w:val="none"/>
          <w:lang w:val="en-US" w:eastAsia="zh-CN"/>
        </w:rPr>
      </w:pPr>
      <w:r>
        <w:rPr>
          <w:rFonts w:hint="eastAsia"/>
          <w:sz w:val="24"/>
          <w:szCs w:val="24"/>
          <w:highlight w:val="none"/>
          <w:lang w:val="en-US" w:eastAsia="zh-CN"/>
        </w:rPr>
        <w:t>戚墅堰所倡导诚信经营，恪守“诚信、和谐、精品、互利”为核心的经营理念，接受相关方监督并影响顾客、供应商等，公司上下形成了守法诚信的良好风气，公司严格遵守劳动/安全/职业健康安全/环境保护等法律法规、严格落实企业纳税责任、按时归还银行贷款等方面加强公司信用体系建设，生产的产品严格执行产品和服务强制性标准，实行出厂“0”缺陷管理，对于出厂交付的产品质量承担保证责任，承担由此造成的所有经济损失。先后获得国家级“守合同重信用”企业、江苏省“依法管理诚信经营、勇担社会责任”先进企业、常州市“十佳信赖职工之家”等荣誉。</w:t>
      </w:r>
    </w:p>
    <w:p>
      <w:pPr>
        <w:spacing w:line="360" w:lineRule="auto"/>
        <w:ind w:firstLine="480" w:firstLineChars="200"/>
        <w:rPr>
          <w:rFonts w:hint="eastAsia"/>
          <w:sz w:val="24"/>
          <w:szCs w:val="24"/>
          <w:highlight w:val="none"/>
          <w:lang w:val="en-US" w:eastAsia="zh-CN"/>
        </w:rPr>
      </w:pPr>
      <w:r>
        <w:rPr>
          <w:rFonts w:hint="eastAsia"/>
          <w:sz w:val="24"/>
          <w:szCs w:val="24"/>
          <w:highlight w:val="none"/>
          <w:lang w:val="en-US" w:eastAsia="zh-CN"/>
        </w:rPr>
        <w:t>在供应商管理方面，戚墅堰所倡导与供方建立诚信互利的关系。通过建立严格的供应商评价制度，对供应商的资质、诚信进行评估审核，将符合要求的供应商录入《合格供应商名录》，从价格、品质、成本、交期、服务等方面对供应商进行评价，并且每年都会对所有供应商的诚信情况进行评估，对出现诚信问题的供应商予以淘汰或严格处罚。</w:t>
      </w:r>
    </w:p>
    <w:p>
      <w:pPr>
        <w:spacing w:line="360" w:lineRule="auto"/>
        <w:ind w:firstLine="480" w:firstLineChars="200"/>
        <w:rPr>
          <w:rFonts w:hint="eastAsia"/>
          <w:sz w:val="24"/>
          <w:szCs w:val="24"/>
          <w:highlight w:val="none"/>
          <w:lang w:val="en-US" w:eastAsia="zh-CN"/>
        </w:rPr>
      </w:pPr>
      <w:r>
        <w:rPr>
          <w:rFonts w:hint="eastAsia"/>
          <w:sz w:val="24"/>
          <w:szCs w:val="24"/>
          <w:highlight w:val="none"/>
          <w:lang w:val="en-US" w:eastAsia="zh-CN"/>
        </w:rPr>
        <w:t>戚墅堰所对客户以诚信为原则，制订并严格落实《合同管理办法》，订单履约率处于行业领先，在保证客户利益的基础上，对于客户提供的图纸、样品、价格等签署《保密协议》，以保证客户信息的安全性。</w:t>
      </w:r>
    </w:p>
    <w:p>
      <w:pPr>
        <w:spacing w:line="360" w:lineRule="auto"/>
        <w:ind w:firstLine="480" w:firstLineChars="200"/>
        <w:rPr>
          <w:rFonts w:hint="eastAsia"/>
          <w:sz w:val="24"/>
          <w:szCs w:val="24"/>
          <w:highlight w:val="none"/>
          <w:lang w:val="en-US" w:eastAsia="zh-CN"/>
        </w:rPr>
      </w:pPr>
      <w:r>
        <w:rPr>
          <w:rFonts w:hint="eastAsia"/>
          <w:sz w:val="24"/>
          <w:szCs w:val="24"/>
          <w:highlight w:val="none"/>
          <w:lang w:val="en-US" w:eastAsia="zh-CN"/>
        </w:rPr>
        <w:t>在纳税方面，戚墅堰所作大型国有企业，一直坚持承担应有的社会责任，并以良好的行为保持对社会的积极影响，充当一个正面的角色。曾获常州市“纳税百强企业”。公司从自身生产经营活动出发，分析相关活动对社会产生的影响，结合社会实际情况和要求，主动承担相应责任和义务，作为利税大户，对地方与国家的经济发展做出积极贡献。</w:t>
      </w:r>
    </w:p>
    <w:p>
      <w:pPr>
        <w:pStyle w:val="6"/>
        <w:numPr>
          <w:ilvl w:val="0"/>
          <w:numId w:val="0"/>
        </w:numPr>
        <w:ind w:leftChars="0" w:firstLine="482" w:firstLineChars="200"/>
        <w:rPr>
          <w:rFonts w:hint="eastAsia" w:cs="Times New Roman"/>
          <w:b/>
          <w:bCs w:val="0"/>
          <w:sz w:val="24"/>
          <w:szCs w:val="24"/>
          <w:lang w:val="en-US" w:eastAsia="zh-CN"/>
        </w:rPr>
      </w:pPr>
      <w:bookmarkStart w:id="27" w:name="_Toc4197"/>
      <w:r>
        <w:rPr>
          <w:rFonts w:hint="eastAsia" w:cs="Times New Roman"/>
          <w:b/>
          <w:bCs w:val="0"/>
          <w:sz w:val="24"/>
          <w:szCs w:val="24"/>
          <w:lang w:val="en-US" w:eastAsia="zh-CN"/>
        </w:rPr>
        <w:t>（2）质量文化</w:t>
      </w:r>
      <w:bookmarkEnd w:id="27"/>
    </w:p>
    <w:p>
      <w:pPr>
        <w:spacing w:line="360" w:lineRule="auto"/>
        <w:ind w:firstLine="480" w:firstLineChars="200"/>
        <w:rPr>
          <w:rFonts w:hint="eastAsia"/>
          <w:sz w:val="24"/>
          <w:szCs w:val="24"/>
          <w:highlight w:val="none"/>
          <w:lang w:val="en-US" w:eastAsia="zh-CN"/>
        </w:rPr>
      </w:pPr>
      <w:r>
        <w:rPr>
          <w:rFonts w:hint="eastAsia" w:asciiTheme="majorEastAsia" w:hAnsiTheme="majorEastAsia" w:eastAsiaTheme="majorEastAsia" w:cstheme="majorEastAsia"/>
          <w:kern w:val="2"/>
          <w:sz w:val="24"/>
          <w:szCs w:val="24"/>
          <w:lang w:val="en-US" w:eastAsia="zh-CN" w:bidi="ar-SA"/>
        </w:rPr>
        <w:t>戚墅堰所从管理质量、实物质量、服务质量、质量文化等模块，瞄准管理难点、痛点、弱点，围绕中车质量管理体系“质量管理体系回归经营管理体系、质量要求回归业务过程、质量</w:t>
      </w:r>
      <w:r>
        <w:rPr>
          <w:rFonts w:hint="eastAsia"/>
          <w:sz w:val="24"/>
          <w:szCs w:val="24"/>
          <w:highlight w:val="none"/>
          <w:lang w:val="en-US" w:eastAsia="zh-CN"/>
        </w:rPr>
        <w:t>职责回归过程所有者”，从“体系建设”、“制度建设”、“队伍建设”三个纬度，促进管理体系成熟度逐步提升，开展以质量金名片、质量精品工程为载体的一系列质量品牌建设活动。</w:t>
      </w:r>
    </w:p>
    <w:p>
      <w:pPr>
        <w:spacing w:line="360" w:lineRule="auto"/>
        <w:ind w:firstLine="480" w:firstLineChars="200"/>
        <w:rPr>
          <w:rFonts w:hint="eastAsia"/>
          <w:sz w:val="24"/>
          <w:szCs w:val="24"/>
          <w:highlight w:val="none"/>
          <w:lang w:val="en-US" w:eastAsia="zh-CN"/>
        </w:rPr>
      </w:pPr>
      <w:r>
        <w:rPr>
          <w:rFonts w:hint="eastAsia"/>
          <w:sz w:val="24"/>
          <w:szCs w:val="24"/>
          <w:highlight w:val="none"/>
          <w:lang w:val="en-US" w:eastAsia="zh-CN"/>
        </w:rPr>
        <w:t>通过员工质量意识学习和行为习惯规范，形成自上而下的质量文化氛围营造，自下而上的质量文化凝练固化，内部从管理预防、流程优化、质量事故等出发，开展各级单位、各级员工的公开反思、交流，提升质量预防意识；通过全员质量培训、质量大讲堂、纪律大检查、行为大反思、员工大激励、质量知识竞赛等多种方式，运用质量工具方法解决问题，建立系统思维，增强质量理念，营造学习实践环境；通过质量之星、优秀检查员等选树活动，推选质量杰出人物代表，打造标杆示范，逐步构建深入人心的质量文化。</w:t>
      </w:r>
    </w:p>
    <w:p>
      <w:pPr>
        <w:pStyle w:val="6"/>
        <w:numPr>
          <w:ilvl w:val="0"/>
          <w:numId w:val="0"/>
        </w:numPr>
        <w:ind w:leftChars="0"/>
        <w:rPr>
          <w:rFonts w:hint="eastAsia"/>
          <w:lang w:val="en-US" w:eastAsia="zh-CN"/>
        </w:rPr>
      </w:pPr>
      <w:bookmarkStart w:id="28" w:name="_Toc15654"/>
      <w:r>
        <w:rPr>
          <w:rFonts w:hint="eastAsia"/>
          <w:lang w:val="en-US" w:eastAsia="zh-CN"/>
        </w:rPr>
        <w:t>2.4 质量管理基础</w:t>
      </w:r>
      <w:bookmarkEnd w:id="28"/>
    </w:p>
    <w:p>
      <w:pPr>
        <w:pStyle w:val="6"/>
        <w:numPr>
          <w:ilvl w:val="0"/>
          <w:numId w:val="0"/>
        </w:numPr>
        <w:ind w:leftChars="0" w:firstLine="482" w:firstLineChars="200"/>
        <w:rPr>
          <w:rFonts w:hint="eastAsia" w:cs="Times New Roman"/>
          <w:b/>
          <w:bCs w:val="0"/>
          <w:sz w:val="24"/>
          <w:szCs w:val="24"/>
          <w:lang w:val="en-US" w:eastAsia="zh-CN"/>
        </w:rPr>
      </w:pPr>
      <w:bookmarkStart w:id="29" w:name="_Toc5640"/>
      <w:r>
        <w:rPr>
          <w:rFonts w:hint="eastAsia" w:cs="Times New Roman"/>
          <w:b/>
          <w:bCs w:val="0"/>
          <w:sz w:val="24"/>
          <w:szCs w:val="24"/>
          <w:lang w:val="en-US" w:eastAsia="zh-CN"/>
        </w:rPr>
        <w:t>（1）标准管理</w:t>
      </w:r>
      <w:bookmarkEnd w:id="2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目前，戚墅堰所共有管理标准520项，2020年新增27项，修订64项。公司已通过9个体系的认证，包括IRIS、质量、环境、职业健康安全、测量、两化融合、知识产权、能源、信息安全等管理体系，并且公司将各种外部要求与企业经营管理要素进行了有机结合，将规章制度和各体系文件进行了深度融合，建立了一套全面系统、科学合理、分类明确、层次清晰、格式规范的管理标准体系，厘清了管理活动关系和业务流程，规范了各项管理活动的工作准则，为戚墅堰所经营管理更加科学化、规范化提供了有力支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按照“战略导向、领导重视及全员参与”的要求，建立适于企业发展需求且覆盖采购、研发、生产和销售等经营全流程的知识产权管理体系，设立知识产权战略推进委员会及具有独立核心地位的一级管理部门-标准和知识产权部，建立全生命周期知识管理平台标准体系建设、知识产权管理处于国内领先水平。首个由戚墅堰所主持制定的国际标准ISO 945-4: 2019铸铁金相组织—第4部分《球墨铸铁球化率评定方法》，近3年主持制定国际标准1项，参与制定国际标准8项，主持制修订国家4项，行业标准22项；戚墅堰所产品执行国家和行业相关标准，不断强化标准执行，持续推进生产工艺，产品出厂合格率达到100%、产品抽检合格率达到100%。</w:t>
      </w:r>
    </w:p>
    <w:p>
      <w:pPr>
        <w:pStyle w:val="6"/>
        <w:numPr>
          <w:ilvl w:val="0"/>
          <w:numId w:val="0"/>
        </w:numPr>
        <w:ind w:leftChars="0" w:firstLine="482" w:firstLineChars="200"/>
        <w:rPr>
          <w:rFonts w:hint="eastAsia" w:cs="Times New Roman"/>
          <w:b/>
          <w:bCs w:val="0"/>
          <w:sz w:val="24"/>
          <w:szCs w:val="24"/>
          <w:lang w:val="en-US" w:eastAsia="zh-CN"/>
        </w:rPr>
      </w:pPr>
      <w:bookmarkStart w:id="30" w:name="_Toc12895"/>
      <w:r>
        <w:rPr>
          <w:rFonts w:hint="eastAsia" w:cs="Times New Roman"/>
          <w:b/>
          <w:bCs w:val="0"/>
          <w:sz w:val="24"/>
          <w:szCs w:val="24"/>
          <w:lang w:val="en-US" w:eastAsia="zh-CN"/>
        </w:rPr>
        <w:t>（2）计量管理</w:t>
      </w:r>
      <w:bookmarkEnd w:id="3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1.重视计量管理工作，机构健全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公司严格执行《中华人民共和国计量法》等文件法规，深入落实省局提出的目标、任务和要求，于2001年成立试验检测中心，建立最高标准13项，通过江苏省常州质量技术监督局考核；设置专职校准/检测员142人，负责公司的在用计量设备管理、配备和定期校检工作，持证上岗率达到100%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戚墅堰所具有完善的人员培训教育管理制度，定期进行检测人员培训，提高技术素质，对机械加工等行业有一套较为完善的校准/检测试验分析手段。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2.计量器具管理规范，定期检定、校验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戚墅堰所于1988年通过计量定级升级认证，获国家《三级计量单位》证书。2002年通过中国实验室国家认可委员会评审，获得实验室国家认可证书。2010年获中启计量体系认证中心颁发的“测量管理体系认证证书”。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拥有先进的计量检测设备，能够开展校准/检测的范围包括长度、温度、力学、电学；几何量、形位公差的测试；以及化学成份、非金属材料性能、材料力学性能、物理性能分析和无损检测等。为确保产品质量，在产品生产工艺中严格过程控制，戚墅堰所按照计量管理制度以及质量控制测量设备自查自校管理制度，对生产工艺过程中的原材料、零部件等加强计量管理，确保计量设备的正常运行和计量的准确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戚墅堰所以较完善的检测试验设备、雄厚的技术力量在轨道交通装备行业具有一定的声誉和影响，所发挥的公正作用也在日益增强。</w:t>
      </w:r>
    </w:p>
    <w:p>
      <w:pPr>
        <w:pStyle w:val="6"/>
        <w:numPr>
          <w:ilvl w:val="0"/>
          <w:numId w:val="0"/>
        </w:numPr>
        <w:ind w:leftChars="0" w:firstLine="482" w:firstLineChars="200"/>
        <w:rPr>
          <w:rFonts w:hint="eastAsia" w:cs="Times New Roman"/>
          <w:b/>
          <w:bCs w:val="0"/>
          <w:sz w:val="24"/>
          <w:szCs w:val="24"/>
          <w:lang w:val="en-US" w:eastAsia="zh-CN"/>
        </w:rPr>
      </w:pPr>
      <w:bookmarkStart w:id="31" w:name="_Toc23315"/>
      <w:r>
        <w:rPr>
          <w:rFonts w:hint="eastAsia" w:cs="Times New Roman"/>
          <w:b/>
          <w:bCs w:val="0"/>
          <w:sz w:val="24"/>
          <w:szCs w:val="24"/>
          <w:lang w:val="en-US" w:eastAsia="zh-CN"/>
        </w:rPr>
        <w:t>（3）认证管理</w:t>
      </w:r>
      <w:bookmarkEnd w:id="3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通过</w:t>
      </w:r>
      <w:r>
        <w:rPr>
          <w:rFonts w:hint="eastAsia" w:asciiTheme="majorEastAsia" w:hAnsiTheme="majorEastAsia" w:eastAsiaTheme="majorEastAsia" w:cstheme="majorEastAsia"/>
          <w:sz w:val="24"/>
          <w:szCs w:val="24"/>
          <w:lang w:val="en-US" w:eastAsia="zh-CN"/>
        </w:rPr>
        <w:t>ISO/TS 22163、</w:t>
      </w:r>
      <w:r>
        <w:rPr>
          <w:rFonts w:hint="default" w:asciiTheme="majorEastAsia" w:hAnsiTheme="majorEastAsia" w:eastAsiaTheme="majorEastAsia" w:cstheme="majorEastAsia"/>
          <w:sz w:val="24"/>
          <w:szCs w:val="24"/>
          <w:lang w:val="en-US" w:eastAsia="zh-CN"/>
        </w:rPr>
        <w:t xml:space="preserve">ISO9001 </w:t>
      </w:r>
      <w:r>
        <w:rPr>
          <w:rFonts w:hint="eastAsia" w:asciiTheme="majorEastAsia" w:hAnsiTheme="majorEastAsia" w:eastAsiaTheme="majorEastAsia" w:cstheme="majorEastAsia"/>
          <w:sz w:val="24"/>
          <w:szCs w:val="24"/>
          <w:lang w:val="en-US" w:eastAsia="zh-CN"/>
        </w:rPr>
        <w:t>、ISO14001、ISO 45001、ISO 10012</w:t>
      </w:r>
      <w:r>
        <w:rPr>
          <w:rFonts w:hint="default" w:asciiTheme="majorEastAsia" w:hAnsiTheme="majorEastAsia" w:eastAsiaTheme="majorEastAsia" w:cstheme="majorEastAsia"/>
          <w:sz w:val="24"/>
          <w:szCs w:val="24"/>
          <w:lang w:val="en-US" w:eastAsia="zh-CN"/>
        </w:rPr>
        <w:t>管理体系认证，贯彻认证工作的开展实施，每年实施监督审查，持续改进完善，不断优化工艺技术改造，提升核心技术，促进技术改革与创新引领行业进步。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center"/>
        <w:textAlignment w:val="auto"/>
        <w:outlineLvl w:val="9"/>
        <w:rPr>
          <w:rFonts w:hint="eastAsia" w:asciiTheme="majorEastAsia" w:hAnsiTheme="majorEastAsia" w:eastAsiaTheme="majorEastAsia" w:cstheme="majorEastAsia"/>
          <w:sz w:val="24"/>
          <w:szCs w:val="24"/>
          <w:lang w:val="en-US" w:eastAsia="zh-CN"/>
        </w:rPr>
      </w:pPr>
      <w:r>
        <w:drawing>
          <wp:inline distT="0" distB="0" distL="114300" distR="114300">
            <wp:extent cx="1031240" cy="1404620"/>
            <wp:effectExtent l="12700" t="12700" r="22860" b="30480"/>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27"/>
                    <a:stretch>
                      <a:fillRect/>
                    </a:stretch>
                  </pic:blipFill>
                  <pic:spPr>
                    <a:xfrm>
                      <a:off x="0" y="0"/>
                      <a:ext cx="1031240" cy="1404620"/>
                    </a:xfrm>
                    <a:prstGeom prst="rect">
                      <a:avLst/>
                    </a:prstGeom>
                    <a:noFill/>
                    <a:ln w="12700" cmpd="sng">
                      <a:solidFill>
                        <a:schemeClr val="tx1"/>
                      </a:solidFill>
                      <a:prstDash val="solid"/>
                    </a:ln>
                  </pic:spPr>
                </pic:pic>
              </a:graphicData>
            </a:graphic>
          </wp:inline>
        </w:drawing>
      </w:r>
      <w:r>
        <w:drawing>
          <wp:inline distT="0" distB="0" distL="114300" distR="114300">
            <wp:extent cx="1198880" cy="1412240"/>
            <wp:effectExtent l="9525" t="9525" r="10795" b="26035"/>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pic:cNvPicPr>
                  </pic:nvPicPr>
                  <pic:blipFill>
                    <a:blip r:embed="rId28"/>
                    <a:stretch>
                      <a:fillRect/>
                    </a:stretch>
                  </pic:blipFill>
                  <pic:spPr>
                    <a:xfrm>
                      <a:off x="0" y="0"/>
                      <a:ext cx="1198880" cy="1412240"/>
                    </a:xfrm>
                    <a:prstGeom prst="rect">
                      <a:avLst/>
                    </a:prstGeom>
                    <a:noFill/>
                    <a:ln w="9525">
                      <a:solidFill>
                        <a:schemeClr val="tx1"/>
                      </a:solidFill>
                    </a:ln>
                  </pic:spPr>
                </pic:pic>
              </a:graphicData>
            </a:graphic>
          </wp:inline>
        </w:drawing>
      </w:r>
      <w:r>
        <w:drawing>
          <wp:inline distT="0" distB="0" distL="114300" distR="114300">
            <wp:extent cx="1398270" cy="1450340"/>
            <wp:effectExtent l="0" t="0" r="11430" b="1651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9"/>
                    <a:stretch>
                      <a:fillRect/>
                    </a:stretch>
                  </pic:blipFill>
                  <pic:spPr>
                    <a:xfrm>
                      <a:off x="0" y="0"/>
                      <a:ext cx="1398270" cy="1450340"/>
                    </a:xfrm>
                    <a:prstGeom prst="rect">
                      <a:avLst/>
                    </a:prstGeom>
                    <a:noFill/>
                    <a:ln w="9525">
                      <a:noFill/>
                    </a:ln>
                  </pic:spPr>
                </pic:pic>
              </a:graphicData>
            </a:graphic>
          </wp:inline>
        </w:drawing>
      </w:r>
      <w:r>
        <w:drawing>
          <wp:inline distT="0" distB="0" distL="114300" distR="114300">
            <wp:extent cx="1171575" cy="1444625"/>
            <wp:effectExtent l="0" t="0" r="9525" b="317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30"/>
                    <a:stretch>
                      <a:fillRect/>
                    </a:stretch>
                  </pic:blipFill>
                  <pic:spPr>
                    <a:xfrm>
                      <a:off x="0" y="0"/>
                      <a:ext cx="1171575" cy="1444625"/>
                    </a:xfrm>
                    <a:prstGeom prst="rect">
                      <a:avLst/>
                    </a:prstGeom>
                    <a:noFill/>
                    <a:ln w="9525">
                      <a:noFill/>
                    </a:ln>
                  </pic:spPr>
                </pic:pic>
              </a:graphicData>
            </a:graphic>
          </wp:inline>
        </w:drawing>
      </w:r>
      <w:r>
        <w:drawing>
          <wp:inline distT="0" distB="0" distL="114300" distR="114300">
            <wp:extent cx="1184275" cy="1406525"/>
            <wp:effectExtent l="0" t="0" r="15875" b="317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31"/>
                    <a:stretch>
                      <a:fillRect/>
                    </a:stretch>
                  </pic:blipFill>
                  <pic:spPr>
                    <a:xfrm>
                      <a:off x="0" y="0"/>
                      <a:ext cx="1184275" cy="14065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zh-CN" w:eastAsia="zh-CN"/>
        </w:rPr>
        <w:t>图</w:t>
      </w:r>
      <w:r>
        <w:rPr>
          <w:rFonts w:hint="eastAsia" w:asciiTheme="minorEastAsia" w:hAnsiTheme="minorEastAsia" w:eastAsiaTheme="minorEastAsia" w:cstheme="minorEastAsia"/>
          <w:b/>
          <w:bCs/>
          <w:sz w:val="21"/>
          <w:szCs w:val="21"/>
          <w:lang w:val="en-US" w:eastAsia="zh-CN"/>
        </w:rPr>
        <w:t>2-3 部分体系认证证书</w:t>
      </w:r>
    </w:p>
    <w:p>
      <w:pPr>
        <w:pStyle w:val="6"/>
        <w:numPr>
          <w:ilvl w:val="0"/>
          <w:numId w:val="0"/>
        </w:numPr>
        <w:ind w:leftChars="0"/>
        <w:rPr>
          <w:rFonts w:hint="eastAsia"/>
          <w:lang w:val="en-US" w:eastAsia="zh-CN"/>
        </w:rPr>
      </w:pPr>
      <w:bookmarkStart w:id="32" w:name="_Toc20413"/>
      <w:r>
        <w:rPr>
          <w:rFonts w:hint="eastAsia"/>
          <w:lang w:val="en-US" w:eastAsia="zh-CN"/>
        </w:rPr>
        <w:t xml:space="preserve">2.5 </w:t>
      </w:r>
      <w:r>
        <w:rPr>
          <w:rFonts w:hint="default"/>
          <w:lang w:val="en-US" w:eastAsia="zh-CN"/>
        </w:rPr>
        <w:t>产品质量责任</w:t>
      </w:r>
      <w:bookmarkEnd w:id="32"/>
    </w:p>
    <w:p>
      <w:pPr>
        <w:pStyle w:val="6"/>
        <w:numPr>
          <w:ilvl w:val="0"/>
          <w:numId w:val="0"/>
        </w:numPr>
        <w:ind w:leftChars="0" w:firstLine="482" w:firstLineChars="200"/>
        <w:rPr>
          <w:rFonts w:hint="default" w:cs="Times New Roman"/>
          <w:b/>
          <w:bCs w:val="0"/>
          <w:sz w:val="24"/>
          <w:szCs w:val="24"/>
          <w:lang w:val="en-US" w:eastAsia="zh-CN"/>
        </w:rPr>
      </w:pPr>
      <w:bookmarkStart w:id="33" w:name="_Toc11682"/>
      <w:r>
        <w:rPr>
          <w:rFonts w:hint="eastAsia" w:cs="Times New Roman"/>
          <w:b/>
          <w:bCs w:val="0"/>
          <w:sz w:val="24"/>
          <w:szCs w:val="24"/>
          <w:lang w:val="en-US" w:eastAsia="zh-CN"/>
        </w:rPr>
        <w:t>（1）</w:t>
      </w:r>
      <w:r>
        <w:rPr>
          <w:rFonts w:hint="default" w:cs="Times New Roman"/>
          <w:b/>
          <w:bCs w:val="0"/>
          <w:sz w:val="24"/>
          <w:szCs w:val="24"/>
          <w:lang w:val="en-US" w:eastAsia="zh-CN"/>
        </w:rPr>
        <w:t>产品质量水平</w:t>
      </w:r>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按照现代化企业生产管理体系进行流程设计和组织构架建设，产品从研发、设计、生产、质量管理等均采用先进的设备和工艺水平。表</w:t>
      </w:r>
      <w:r>
        <w:rPr>
          <w:rFonts w:hint="eastAsia" w:asciiTheme="majorEastAsia" w:hAnsiTheme="majorEastAsia" w:eastAsiaTheme="majorEastAsia" w:cstheme="majorEastAsia"/>
          <w:sz w:val="24"/>
          <w:szCs w:val="24"/>
          <w:lang w:val="en-US" w:eastAsia="zh-CN"/>
        </w:rPr>
        <w:t>2-</w:t>
      </w:r>
      <w:r>
        <w:rPr>
          <w:rFonts w:hint="default" w:asciiTheme="majorEastAsia" w:hAnsiTheme="majorEastAsia" w:eastAsiaTheme="majorEastAsia" w:cstheme="majorEastAsia"/>
          <w:sz w:val="24"/>
          <w:szCs w:val="24"/>
          <w:lang w:val="en-US" w:eastAsia="zh-CN"/>
        </w:rPr>
        <w:t>1是</w:t>
      </w: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质量水平情况表。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heme="minorEastAsia" w:hAnsiTheme="minorEastAsia" w:eastAsiaTheme="minorEastAsia" w:cstheme="minorEastAsia"/>
          <w:b/>
          <w:bCs/>
          <w:sz w:val="21"/>
          <w:szCs w:val="21"/>
          <w:lang w:val="zh-CN" w:eastAsia="zh-CN"/>
        </w:rPr>
      </w:pPr>
      <w:r>
        <w:rPr>
          <w:rFonts w:hint="default" w:asciiTheme="minorEastAsia" w:hAnsiTheme="minorEastAsia" w:eastAsiaTheme="minorEastAsia" w:cstheme="minorEastAsia"/>
          <w:b/>
          <w:bCs/>
          <w:sz w:val="21"/>
          <w:szCs w:val="21"/>
          <w:lang w:val="zh-CN" w:eastAsia="zh-CN"/>
        </w:rPr>
        <w:t>表</w:t>
      </w:r>
      <w:r>
        <w:rPr>
          <w:rFonts w:hint="eastAsia" w:asciiTheme="minorEastAsia" w:hAnsiTheme="minorEastAsia" w:eastAsiaTheme="minorEastAsia" w:cstheme="minorEastAsia"/>
          <w:b/>
          <w:bCs/>
          <w:sz w:val="21"/>
          <w:szCs w:val="21"/>
          <w:lang w:val="en-US" w:eastAsia="zh-CN"/>
        </w:rPr>
        <w:t>2-</w:t>
      </w:r>
      <w:r>
        <w:rPr>
          <w:rFonts w:hint="default" w:asciiTheme="minorEastAsia" w:hAnsiTheme="minorEastAsia" w:eastAsiaTheme="minorEastAsia" w:cstheme="minorEastAsia"/>
          <w:b/>
          <w:bCs/>
          <w:sz w:val="21"/>
          <w:szCs w:val="21"/>
          <w:lang w:val="zh-CN" w:eastAsia="zh-CN"/>
        </w:rPr>
        <w:t xml:space="preserve">1 </w:t>
      </w:r>
      <w:r>
        <w:rPr>
          <w:rFonts w:hint="eastAsia" w:asciiTheme="minorEastAsia" w:hAnsiTheme="minorEastAsia" w:eastAsiaTheme="minorEastAsia" w:cstheme="minorEastAsia"/>
          <w:b/>
          <w:bCs/>
          <w:sz w:val="21"/>
          <w:szCs w:val="21"/>
          <w:lang w:val="zh-CN" w:eastAsia="zh-CN"/>
        </w:rPr>
        <w:t>戚墅堰所</w:t>
      </w:r>
      <w:r>
        <w:rPr>
          <w:rFonts w:hint="default" w:asciiTheme="minorEastAsia" w:hAnsiTheme="minorEastAsia" w:eastAsiaTheme="minorEastAsia" w:cstheme="minorEastAsia"/>
          <w:b/>
          <w:bCs/>
          <w:sz w:val="21"/>
          <w:szCs w:val="21"/>
          <w:lang w:val="zh-CN" w:eastAsia="zh-CN"/>
        </w:rPr>
        <w:t>质量水平情况表</w:t>
      </w:r>
    </w:p>
    <w:tbl>
      <w:tblPr>
        <w:tblStyle w:val="17"/>
        <w:tblW w:w="9203" w:type="dxa"/>
        <w:jc w:val="center"/>
        <w:tblInd w:w="41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29"/>
        <w:gridCol w:w="1348"/>
        <w:gridCol w:w="1676"/>
        <w:gridCol w:w="5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73" w:hRule="atLeast"/>
          <w:jc w:val="center"/>
        </w:trPr>
        <w:tc>
          <w:tcPr>
            <w:tcW w:w="4053"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center"/>
              <w:textAlignment w:val="auto"/>
              <w:outlineLvl w:val="9"/>
              <w:rPr>
                <w:sz w:val="21"/>
                <w:szCs w:val="21"/>
              </w:rPr>
            </w:pPr>
            <w:r>
              <w:rPr>
                <w:sz w:val="21"/>
                <w:szCs w:val="21"/>
              </w:rPr>
              <w:t>指标</w:t>
            </w:r>
          </w:p>
        </w:tc>
        <w:tc>
          <w:tcPr>
            <w:tcW w:w="5150"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center"/>
              <w:textAlignment w:val="auto"/>
              <w:outlineLvl w:val="9"/>
              <w:rPr>
                <w:sz w:val="21"/>
                <w:szCs w:val="21"/>
              </w:rPr>
            </w:pPr>
            <w:r>
              <w:rPr>
                <w:sz w:val="21"/>
                <w:szCs w:val="21"/>
              </w:rPr>
              <w:t>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78" w:hRule="atLeast"/>
          <w:jc w:val="center"/>
        </w:trPr>
        <w:tc>
          <w:tcPr>
            <w:tcW w:w="1029"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outlineLvl w:val="9"/>
              <w:rPr>
                <w:sz w:val="21"/>
                <w:szCs w:val="21"/>
              </w:rPr>
            </w:pPr>
            <w:r>
              <w:rPr>
                <w:sz w:val="21"/>
                <w:szCs w:val="21"/>
              </w:rPr>
              <w:t>质量水平</w:t>
            </w:r>
          </w:p>
        </w:tc>
        <w:tc>
          <w:tcPr>
            <w:tcW w:w="1348"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outlineLvl w:val="9"/>
              <w:rPr>
                <w:sz w:val="21"/>
                <w:szCs w:val="21"/>
              </w:rPr>
            </w:pPr>
            <w:r>
              <w:rPr>
                <w:sz w:val="21"/>
                <w:szCs w:val="21"/>
              </w:rPr>
              <w:t>实物质量水平</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outlineLvl w:val="9"/>
              <w:rPr>
                <w:sz w:val="21"/>
                <w:szCs w:val="21"/>
              </w:rPr>
            </w:pPr>
            <w:r>
              <w:rPr>
                <w:sz w:val="21"/>
                <w:szCs w:val="21"/>
              </w:rPr>
              <w:t>产品认证情况</w:t>
            </w:r>
          </w:p>
        </w:tc>
        <w:tc>
          <w:tcPr>
            <w:tcW w:w="5150"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210" w:firstLineChars="100"/>
              <w:jc w:val="both"/>
              <w:textAlignment w:val="auto"/>
              <w:outlineLvl w:val="9"/>
              <w:rPr>
                <w:rFonts w:hint="eastAsia"/>
                <w:sz w:val="21"/>
                <w:szCs w:val="21"/>
                <w:lang w:eastAsia="zh-CN"/>
              </w:rPr>
            </w:pPr>
            <w:r>
              <w:rPr>
                <w:rFonts w:hint="eastAsia"/>
                <w:sz w:val="21"/>
                <w:szCs w:val="21"/>
              </w:rPr>
              <w:t>共获取13种型号产品的检修资质</w:t>
            </w:r>
            <w:r>
              <w:rPr>
                <w:rFonts w:hint="eastAsia"/>
                <w:sz w:val="21"/>
                <w:szCs w:val="21"/>
                <w:lang w:eastAsia="zh-CN"/>
              </w:rPr>
              <w:t>；</w:t>
            </w:r>
          </w:p>
          <w:p>
            <w:pPr>
              <w:pStyle w:val="1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210" w:firstLineChars="100"/>
              <w:jc w:val="both"/>
              <w:textAlignment w:val="auto"/>
              <w:outlineLvl w:val="9"/>
              <w:rPr>
                <w:sz w:val="21"/>
                <w:szCs w:val="21"/>
              </w:rPr>
            </w:pPr>
            <w:r>
              <w:rPr>
                <w:rFonts w:hint="eastAsia"/>
                <w:sz w:val="21"/>
                <w:szCs w:val="21"/>
              </w:rPr>
              <w:t>共95种产品获得CRCC证书，共有24张CRCC正式证书、21张试用证书（含城轨）</w:t>
            </w:r>
            <w:r>
              <w:rPr>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jc w:val="center"/>
        </w:trPr>
        <w:tc>
          <w:tcPr>
            <w:tcW w:w="1029"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textAlignment w:val="auto"/>
              <w:outlineLvl w:val="9"/>
              <w:rPr>
                <w:rFonts w:hint="eastAsia" w:ascii="宋体"/>
                <w:sz w:val="24"/>
                <w:szCs w:val="24"/>
              </w:rPr>
            </w:pPr>
          </w:p>
        </w:tc>
        <w:tc>
          <w:tcPr>
            <w:tcW w:w="1348"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outlineLvl w:val="9"/>
              <w:rPr>
                <w:sz w:val="21"/>
                <w:szCs w:val="21"/>
              </w:rPr>
            </w:pPr>
            <w:r>
              <w:rPr>
                <w:sz w:val="21"/>
                <w:szCs w:val="21"/>
              </w:rPr>
              <w:t>检测能力</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outlineLvl w:val="9"/>
              <w:rPr>
                <w:sz w:val="21"/>
                <w:szCs w:val="21"/>
              </w:rPr>
            </w:pPr>
            <w:r>
              <w:rPr>
                <w:sz w:val="21"/>
                <w:szCs w:val="21"/>
              </w:rPr>
              <w:t>实验室认可</w:t>
            </w:r>
          </w:p>
        </w:tc>
        <w:tc>
          <w:tcPr>
            <w:tcW w:w="5150"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210" w:firstLineChars="100"/>
              <w:jc w:val="both"/>
              <w:textAlignment w:val="auto"/>
              <w:outlineLvl w:val="9"/>
              <w:rPr>
                <w:sz w:val="21"/>
                <w:szCs w:val="21"/>
              </w:rPr>
            </w:pPr>
            <w:r>
              <w:rPr>
                <w:sz w:val="21"/>
                <w:szCs w:val="21"/>
              </w:rPr>
              <w:t>取得实验室认可资质</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210" w:firstLineChars="100"/>
              <w:jc w:val="both"/>
              <w:textAlignment w:val="auto"/>
              <w:outlineLvl w:val="9"/>
              <w:rPr>
                <w:rFonts w:hint="eastAsia" w:eastAsia="宋体"/>
                <w:sz w:val="21"/>
                <w:szCs w:val="21"/>
                <w:lang w:val="en-US" w:eastAsia="zh-CN"/>
              </w:rPr>
            </w:pPr>
            <w:r>
              <w:rPr>
                <w:sz w:val="21"/>
                <w:szCs w:val="21"/>
              </w:rPr>
              <w:t>证书编号</w:t>
            </w:r>
            <w:r>
              <w:rPr>
                <w:rFonts w:hint="eastAsia"/>
                <w:sz w:val="21"/>
                <w:szCs w:val="21"/>
                <w:lang w:eastAsia="zh-CN"/>
              </w:rPr>
              <w:t>：</w:t>
            </w:r>
            <w:r>
              <w:rPr>
                <w:sz w:val="21"/>
                <w:szCs w:val="21"/>
              </w:rPr>
              <w:t>CNAS L</w:t>
            </w:r>
            <w:r>
              <w:rPr>
                <w:rFonts w:hint="eastAsia"/>
                <w:sz w:val="21"/>
                <w:szCs w:val="21"/>
                <w:lang w:val="en-US" w:eastAsia="zh-CN"/>
              </w:rPr>
              <w:t>7990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94" w:hRule="atLeast"/>
          <w:jc w:val="center"/>
        </w:trPr>
        <w:tc>
          <w:tcPr>
            <w:tcW w:w="1029"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textAlignment w:val="auto"/>
              <w:outlineLvl w:val="9"/>
              <w:rPr>
                <w:rFonts w:hint="eastAsia" w:ascii="宋体"/>
                <w:sz w:val="24"/>
                <w:szCs w:val="24"/>
              </w:rPr>
            </w:pPr>
          </w:p>
        </w:tc>
        <w:tc>
          <w:tcPr>
            <w:tcW w:w="1348"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outlineLvl w:val="9"/>
              <w:rPr>
                <w:sz w:val="21"/>
                <w:szCs w:val="21"/>
              </w:rPr>
            </w:pPr>
            <w:r>
              <w:rPr>
                <w:sz w:val="21"/>
                <w:szCs w:val="21"/>
              </w:rPr>
              <w:t>标准化水平</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outlineLvl w:val="9"/>
              <w:rPr>
                <w:sz w:val="21"/>
                <w:szCs w:val="21"/>
              </w:rPr>
            </w:pPr>
            <w:r>
              <w:rPr>
                <w:sz w:val="21"/>
                <w:szCs w:val="21"/>
              </w:rPr>
              <w:t>企业参与标准化情况</w:t>
            </w:r>
          </w:p>
        </w:tc>
        <w:tc>
          <w:tcPr>
            <w:tcW w:w="5150"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outlineLvl w:val="9"/>
              <w:rPr>
                <w:sz w:val="21"/>
                <w:szCs w:val="21"/>
              </w:rPr>
            </w:pPr>
            <w:r>
              <w:rPr>
                <w:rFonts w:hint="eastAsia"/>
                <w:sz w:val="21"/>
                <w:szCs w:val="21"/>
              </w:rPr>
              <w:t>主持或参与制定国际标准12项，国家标准22项，行业标准660项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448" w:hRule="atLeast"/>
          <w:jc w:val="center"/>
        </w:trPr>
        <w:tc>
          <w:tcPr>
            <w:tcW w:w="1029"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textAlignment w:val="auto"/>
              <w:outlineLvl w:val="9"/>
              <w:rPr>
                <w:rFonts w:hint="eastAsia" w:ascii="宋体"/>
                <w:sz w:val="24"/>
                <w:szCs w:val="24"/>
              </w:rPr>
            </w:pPr>
          </w:p>
        </w:tc>
        <w:tc>
          <w:tcPr>
            <w:tcW w:w="1348"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outlineLvl w:val="9"/>
              <w:rPr>
                <w:sz w:val="21"/>
                <w:szCs w:val="21"/>
              </w:rPr>
            </w:pPr>
            <w:r>
              <w:rPr>
                <w:sz w:val="21"/>
                <w:szCs w:val="21"/>
              </w:rPr>
              <w:t>管理体系建设情况</w:t>
            </w:r>
          </w:p>
        </w:tc>
        <w:tc>
          <w:tcPr>
            <w:tcW w:w="1676"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outlineLvl w:val="9"/>
              <w:rPr>
                <w:sz w:val="21"/>
                <w:szCs w:val="21"/>
              </w:rPr>
            </w:pPr>
            <w:r>
              <w:rPr>
                <w:sz w:val="21"/>
                <w:szCs w:val="21"/>
              </w:rPr>
              <w:t>管理体系认证</w:t>
            </w:r>
          </w:p>
        </w:tc>
        <w:tc>
          <w:tcPr>
            <w:tcW w:w="5150"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outlineLvl w:val="9"/>
              <w:rPr>
                <w:rFonts w:hint="eastAsia"/>
                <w:sz w:val="21"/>
                <w:szCs w:val="21"/>
              </w:rPr>
            </w:pPr>
            <w:r>
              <w:rPr>
                <w:rFonts w:hint="eastAsia"/>
                <w:sz w:val="21"/>
                <w:szCs w:val="21"/>
                <w:lang w:val="en-US" w:eastAsia="zh-CN"/>
              </w:rPr>
              <w:t>1.</w:t>
            </w:r>
            <w:r>
              <w:rPr>
                <w:rFonts w:hint="eastAsia"/>
                <w:sz w:val="21"/>
                <w:szCs w:val="21"/>
              </w:rPr>
              <w:t>质量管理体系 认证时间及证书号： 2018年11月20号/00618Q31858R6L                        　</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outlineLvl w:val="9"/>
              <w:rPr>
                <w:rFonts w:hint="eastAsia"/>
                <w:sz w:val="21"/>
                <w:szCs w:val="21"/>
              </w:rPr>
            </w:pPr>
            <w:r>
              <w:rPr>
                <w:rFonts w:hint="eastAsia"/>
                <w:sz w:val="21"/>
                <w:szCs w:val="21"/>
                <w:lang w:val="en-US" w:eastAsia="zh-CN"/>
              </w:rPr>
              <w:t>2.</w:t>
            </w:r>
            <w:r>
              <w:rPr>
                <w:rFonts w:hint="eastAsia"/>
                <w:sz w:val="21"/>
                <w:szCs w:val="21"/>
              </w:rPr>
              <w:t xml:space="preserve">环境管理体系 认证时间及证书号： 2018年11月20号/ 00618E31123R5L       　                 </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outlineLvl w:val="9"/>
              <w:rPr>
                <w:rFonts w:hint="eastAsia"/>
                <w:sz w:val="21"/>
                <w:szCs w:val="21"/>
              </w:rPr>
            </w:pPr>
            <w:r>
              <w:rPr>
                <w:rFonts w:hint="eastAsia"/>
                <w:sz w:val="21"/>
                <w:szCs w:val="21"/>
                <w:lang w:val="en-US" w:eastAsia="zh-CN"/>
              </w:rPr>
              <w:t>3.</w:t>
            </w:r>
            <w:r>
              <w:rPr>
                <w:rFonts w:hint="eastAsia"/>
                <w:sz w:val="21"/>
                <w:szCs w:val="21"/>
              </w:rPr>
              <w:t xml:space="preserve">职业健康安全管理体系 认证时间及证书号：2018年11月20日/00618S31062R5L              　  </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outlineLvl w:val="9"/>
              <w:rPr>
                <w:rFonts w:hint="eastAsia"/>
                <w:sz w:val="21"/>
                <w:szCs w:val="21"/>
              </w:rPr>
            </w:pPr>
            <w:r>
              <w:rPr>
                <w:rFonts w:hint="eastAsia"/>
                <w:sz w:val="21"/>
                <w:szCs w:val="21"/>
                <w:lang w:val="en-US" w:eastAsia="zh-CN"/>
              </w:rPr>
              <w:t>4.</w:t>
            </w:r>
            <w:r>
              <w:rPr>
                <w:rFonts w:hint="eastAsia"/>
                <w:sz w:val="21"/>
                <w:szCs w:val="21"/>
              </w:rPr>
              <w:t>测量管理体系 认证时间及证书号：2020年11月23日/CMS苏[2020]AAA1042号</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outlineLvl w:val="9"/>
              <w:rPr>
                <w:rFonts w:hint="eastAsia"/>
                <w:sz w:val="21"/>
                <w:szCs w:val="21"/>
              </w:rPr>
            </w:pPr>
            <w:r>
              <w:rPr>
                <w:rFonts w:hint="eastAsia"/>
                <w:sz w:val="21"/>
                <w:szCs w:val="21"/>
                <w:lang w:val="en-US" w:eastAsia="zh-CN"/>
              </w:rPr>
              <w:t>5.</w:t>
            </w:r>
            <w:r>
              <w:rPr>
                <w:rFonts w:hint="eastAsia"/>
                <w:sz w:val="21"/>
                <w:szCs w:val="21"/>
              </w:rPr>
              <w:t xml:space="preserve">IRIS经营管理体系 认证时间及证书号：2018年8月13/ 39100011705                                 </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outlineLvl w:val="9"/>
              <w:rPr>
                <w:rFonts w:hint="eastAsia"/>
                <w:sz w:val="21"/>
                <w:szCs w:val="21"/>
              </w:rPr>
            </w:pPr>
            <w:r>
              <w:rPr>
                <w:rFonts w:hint="eastAsia"/>
                <w:sz w:val="21"/>
                <w:szCs w:val="21"/>
                <w:lang w:val="en-US" w:eastAsia="zh-CN"/>
              </w:rPr>
              <w:t>6.</w:t>
            </w:r>
            <w:r>
              <w:rPr>
                <w:rFonts w:hint="eastAsia"/>
                <w:sz w:val="21"/>
                <w:szCs w:val="21"/>
              </w:rPr>
              <w:t xml:space="preserve">两化融合管理体系 认证时间及证书号：2020年12月14日/AIITRE- 0072IIIMS0060002                                     </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outlineLvl w:val="9"/>
              <w:rPr>
                <w:rFonts w:hint="eastAsia"/>
                <w:sz w:val="21"/>
                <w:szCs w:val="21"/>
              </w:rPr>
            </w:pPr>
            <w:r>
              <w:rPr>
                <w:rFonts w:hint="eastAsia"/>
                <w:sz w:val="21"/>
                <w:szCs w:val="21"/>
                <w:lang w:val="en-US" w:eastAsia="zh-CN"/>
              </w:rPr>
              <w:t>7.</w:t>
            </w:r>
            <w:r>
              <w:rPr>
                <w:rFonts w:hint="eastAsia"/>
                <w:sz w:val="21"/>
                <w:szCs w:val="21"/>
              </w:rPr>
              <w:t xml:space="preserve">能源管理体系 认证时间及证书号：2019年2月20日/01419En10003R0L                                     </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outlineLvl w:val="9"/>
              <w:rPr>
                <w:rFonts w:hint="eastAsia"/>
                <w:sz w:val="21"/>
                <w:szCs w:val="21"/>
              </w:rPr>
            </w:pPr>
            <w:r>
              <w:rPr>
                <w:rFonts w:hint="eastAsia"/>
                <w:sz w:val="21"/>
                <w:szCs w:val="21"/>
                <w:lang w:val="en-US" w:eastAsia="zh-CN"/>
              </w:rPr>
              <w:t>8.</w:t>
            </w:r>
            <w:r>
              <w:rPr>
                <w:rFonts w:hint="eastAsia"/>
                <w:sz w:val="21"/>
                <w:szCs w:val="21"/>
              </w:rPr>
              <w:t xml:space="preserve">信息安全管理体系 认证时间及证书号：2020年11月2日/CCRC-2020-ISMS-G-306 -R0                                  </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outlineLvl w:val="9"/>
              <w:rPr>
                <w:sz w:val="21"/>
                <w:szCs w:val="21"/>
              </w:rPr>
            </w:pPr>
            <w:r>
              <w:rPr>
                <w:rFonts w:hint="eastAsia"/>
                <w:sz w:val="21"/>
                <w:szCs w:val="21"/>
                <w:lang w:val="en-US" w:eastAsia="zh-CN"/>
              </w:rPr>
              <w:t>9.</w:t>
            </w:r>
            <w:r>
              <w:rPr>
                <w:rFonts w:hint="eastAsia"/>
                <w:sz w:val="21"/>
                <w:szCs w:val="21"/>
              </w:rPr>
              <w:t>知识产权管理体系 认证时间及证书号：2018年9月26日/18118P2723R0L    </w:t>
            </w:r>
          </w:p>
        </w:tc>
      </w:tr>
    </w:tbl>
    <w:p>
      <w:pPr>
        <w:pStyle w:val="6"/>
        <w:numPr>
          <w:ilvl w:val="0"/>
          <w:numId w:val="0"/>
        </w:numPr>
        <w:ind w:leftChars="0" w:firstLine="482" w:firstLineChars="200"/>
        <w:rPr>
          <w:rFonts w:hint="eastAsia" w:cs="Times New Roman"/>
          <w:b/>
          <w:bCs w:val="0"/>
          <w:sz w:val="24"/>
          <w:szCs w:val="24"/>
          <w:lang w:val="en-US" w:eastAsia="zh-CN"/>
        </w:rPr>
      </w:pPr>
      <w:bookmarkStart w:id="34" w:name="_Toc1977"/>
      <w:r>
        <w:rPr>
          <w:rFonts w:hint="default" w:cs="Times New Roman"/>
          <w:b/>
          <w:bCs w:val="0"/>
          <w:sz w:val="24"/>
          <w:szCs w:val="24"/>
          <w:lang w:val="en-US" w:eastAsia="zh-CN"/>
        </w:rPr>
        <w:t>（</w:t>
      </w:r>
      <w:r>
        <w:rPr>
          <w:rFonts w:hint="eastAsia" w:cs="Times New Roman"/>
          <w:b/>
          <w:bCs w:val="0"/>
          <w:sz w:val="24"/>
          <w:szCs w:val="24"/>
          <w:lang w:val="en-US" w:eastAsia="zh-CN"/>
        </w:rPr>
        <w:t>2</w:t>
      </w:r>
      <w:r>
        <w:rPr>
          <w:rFonts w:hint="default" w:cs="Times New Roman"/>
          <w:b/>
          <w:bCs w:val="0"/>
          <w:sz w:val="24"/>
          <w:szCs w:val="24"/>
          <w:lang w:val="en-US" w:eastAsia="zh-CN"/>
        </w:rPr>
        <w:t>）产品售后责任</w:t>
      </w:r>
      <w:bookmarkEnd w:id="3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依据国家《中华人民共和国产品质量法》及《中华人民共和国消费者权益保护法》，明确售后服务承诺，依据相关国家法律法规建立了客户服务管理办法》、《顾客满意度监视测量程序》、《产品三包管理办法》、《售后服务外包管理》等健全的售后管理办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推行产品条线服务管理模式，引入客户服务管理软件，同步传递客户反馈信息、故障处置过程和结果；设立区域服务网络，协调服务资源，辐射周边市场营销和售后服务；建立服务工作群，及时进行现场交流；统计产品常见故障并定期发布；整理产品常见故障及处置方法，形成故障诊断与处置手册，持续开展员工操作技能培训，提高现场处置效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在国内立足总部，在外设立5个服务售后站点，建立覆盖全国的售后服务网络，帮助顾客降低运营维护成本，为顾客提供及时周到的售后服务和备品备件，也为收集顾客和市场信息提供了便利的渠道。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实行严格的出厂“0”缺陷管理，多年以</w:t>
      </w:r>
      <w:r>
        <w:rPr>
          <w:rFonts w:hint="eastAsia" w:asciiTheme="majorEastAsia" w:hAnsiTheme="majorEastAsia" w:eastAsiaTheme="majorEastAsia" w:cstheme="majorEastAsia"/>
          <w:sz w:val="24"/>
          <w:szCs w:val="24"/>
          <w:lang w:val="en-US" w:eastAsia="zh-CN"/>
        </w:rPr>
        <w:t>公司</w:t>
      </w:r>
      <w:r>
        <w:rPr>
          <w:rFonts w:hint="default" w:asciiTheme="majorEastAsia" w:hAnsiTheme="majorEastAsia" w:eastAsiaTheme="majorEastAsia" w:cstheme="majorEastAsia"/>
          <w:sz w:val="24"/>
          <w:szCs w:val="24"/>
          <w:lang w:val="en-US" w:eastAsia="zh-CN"/>
        </w:rPr>
        <w:t>产品从未发生过因质量或服务的产品召回情况。</w:t>
      </w:r>
    </w:p>
    <w:p>
      <w:pPr>
        <w:pStyle w:val="6"/>
        <w:numPr>
          <w:ilvl w:val="0"/>
          <w:numId w:val="0"/>
        </w:numPr>
        <w:ind w:leftChars="0" w:firstLine="482" w:firstLineChars="200"/>
        <w:rPr>
          <w:rFonts w:hint="default" w:cs="Times New Roman"/>
          <w:b/>
          <w:bCs w:val="0"/>
          <w:sz w:val="24"/>
          <w:szCs w:val="24"/>
          <w:lang w:val="en-US" w:eastAsia="zh-CN"/>
        </w:rPr>
      </w:pPr>
      <w:bookmarkStart w:id="35" w:name="_Toc26575"/>
      <w:r>
        <w:rPr>
          <w:rFonts w:hint="default" w:cs="Times New Roman"/>
          <w:b/>
          <w:bCs w:val="0"/>
          <w:sz w:val="24"/>
          <w:szCs w:val="24"/>
          <w:lang w:val="en-US" w:eastAsia="zh-CN"/>
        </w:rPr>
        <w:t>（</w:t>
      </w:r>
      <w:r>
        <w:rPr>
          <w:rFonts w:hint="eastAsia" w:cs="Times New Roman"/>
          <w:b/>
          <w:bCs w:val="0"/>
          <w:sz w:val="24"/>
          <w:szCs w:val="24"/>
          <w:lang w:val="en-US" w:eastAsia="zh-CN"/>
        </w:rPr>
        <w:t>3</w:t>
      </w:r>
      <w:r>
        <w:rPr>
          <w:rFonts w:hint="default" w:cs="Times New Roman"/>
          <w:b/>
          <w:bCs w:val="0"/>
          <w:sz w:val="24"/>
          <w:szCs w:val="24"/>
          <w:lang w:val="en-US" w:eastAsia="zh-CN"/>
        </w:rPr>
        <w:t>）企业社会责任</w:t>
      </w:r>
      <w:bookmarkEnd w:id="3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始终把产品质量安全、生产安全、环境保护、节能降耗、资源综合利用等作为企业最基本的责任，严格遵守诚信准则，构建组织信用体系，在致力于打造优秀企业的同时，注重回馈社会，在创造企业经济价值的同时，努力创造社会价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严格执行相关法律法规要求，通过环境管理体系、职业健康安全管理体系、能源管理体系、两化融合等评价，识别和评估在质量、环境保护、能源消耗、资源综合利用、安全生产、公共卫生等方面的负面影响和风险，通过现场调查、专家经验法等确定了其中重大影响和风险，制定和实施质量、环境、安全管理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不断充实具有</w:t>
      </w:r>
      <w:r>
        <w:rPr>
          <w:rFonts w:hint="eastAsia" w:asciiTheme="majorEastAsia" w:hAnsiTheme="majorEastAsia" w:eastAsiaTheme="majorEastAsia" w:cstheme="majorEastAsia"/>
          <w:sz w:val="24"/>
          <w:szCs w:val="24"/>
          <w:lang w:val="en-US" w:eastAsia="zh-CN"/>
        </w:rPr>
        <w:t>公司</w:t>
      </w:r>
      <w:r>
        <w:rPr>
          <w:rFonts w:hint="default" w:asciiTheme="majorEastAsia" w:hAnsiTheme="majorEastAsia" w:eastAsiaTheme="majorEastAsia" w:cstheme="majorEastAsia"/>
          <w:sz w:val="24"/>
          <w:szCs w:val="24"/>
          <w:lang w:val="en-US" w:eastAsia="zh-CN"/>
        </w:rPr>
        <w:t>特色的安全“家文化”内涵，积极推进安全微课堂</w:t>
      </w:r>
      <w:r>
        <w:rPr>
          <w:rFonts w:hint="eastAsia" w:asciiTheme="majorEastAsia" w:hAnsiTheme="majorEastAsia" w:eastAsiaTheme="majorEastAsia" w:cstheme="majorEastAsia"/>
          <w:sz w:val="24"/>
          <w:szCs w:val="24"/>
          <w:lang w:val="en-US" w:eastAsia="zh-CN"/>
        </w:rPr>
        <w:t>；</w:t>
      </w:r>
      <w:r>
        <w:rPr>
          <w:rFonts w:hint="default" w:asciiTheme="majorEastAsia" w:hAnsiTheme="majorEastAsia" w:eastAsiaTheme="majorEastAsia" w:cstheme="majorEastAsia"/>
          <w:sz w:val="24"/>
          <w:szCs w:val="24"/>
          <w:lang w:val="en-US" w:eastAsia="zh-CN"/>
        </w:rPr>
        <w:t>深化精益安全工位建设，推动风险分级管控与精益安全工位的有机融合</w:t>
      </w:r>
      <w:r>
        <w:rPr>
          <w:rFonts w:hint="eastAsia" w:asciiTheme="majorEastAsia" w:hAnsiTheme="majorEastAsia" w:eastAsiaTheme="majorEastAsia" w:cstheme="majorEastAsia"/>
          <w:sz w:val="24"/>
          <w:szCs w:val="24"/>
          <w:lang w:val="en-US" w:eastAsia="zh-CN"/>
        </w:rPr>
        <w:t>；</w:t>
      </w:r>
      <w:r>
        <w:rPr>
          <w:rFonts w:hint="default" w:asciiTheme="majorEastAsia" w:hAnsiTheme="majorEastAsia" w:eastAsiaTheme="majorEastAsia" w:cstheme="majorEastAsia"/>
          <w:sz w:val="24"/>
          <w:szCs w:val="24"/>
          <w:lang w:val="en-US" w:eastAsia="zh-CN"/>
        </w:rPr>
        <w:t>深化风险分级管控和隐患排查治理双重预防机制建设，开展了安全风险评估工作，编制了风险评价报告</w:t>
      </w:r>
      <w:r>
        <w:rPr>
          <w:rFonts w:hint="eastAsia" w:asciiTheme="majorEastAsia" w:hAnsiTheme="majorEastAsia" w:eastAsiaTheme="majorEastAsia" w:cstheme="majorEastAsia"/>
          <w:sz w:val="24"/>
          <w:szCs w:val="24"/>
          <w:lang w:val="en-US" w:eastAsia="zh-CN"/>
        </w:rPr>
        <w:t>；</w:t>
      </w:r>
      <w:r>
        <w:rPr>
          <w:rFonts w:hint="default" w:asciiTheme="majorEastAsia" w:hAnsiTheme="majorEastAsia" w:eastAsiaTheme="majorEastAsia" w:cstheme="majorEastAsia"/>
          <w:sz w:val="24"/>
          <w:szCs w:val="24"/>
          <w:lang w:val="en-US" w:eastAsia="zh-CN"/>
        </w:rPr>
        <w:t>开展相关方安全专项治理，加强相关方安全管理，完善各项管理要求，完成《戚墅堰所相关方违规考核典型案例》的编制，组织开展相关方安全管控专项行动学习培训。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编制下发《关于加强生态保护污染防治三年行动计划项目过程管控及验收工作的通知》、《关于组织开展公司三年行动计划项目实施效果检查评价工作的通知》，并进一步排查公司环境风险清单，组织各单位做好重点项目方案调研、评审，建立周报、月度例会机制，建立公司环保设施统一维保机制，推进水性涂料、绿色表面处理工艺、铸造产能转移、清洁生产审核等工作，开展环保专项检查，对上述工作的落实情况进行监督和管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以优质产品服务社会。</w:t>
      </w: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为高速动车组提供齿轮传动系统、车钩缓冲装置和基础制动装置等影响安全运行的关键零部件</w:t>
      </w:r>
      <w:r>
        <w:rPr>
          <w:rFonts w:hint="eastAsia" w:asciiTheme="majorEastAsia" w:hAnsiTheme="majorEastAsia" w:eastAsiaTheme="majorEastAsia" w:cstheme="majorEastAsia"/>
          <w:sz w:val="24"/>
          <w:szCs w:val="24"/>
          <w:lang w:val="en-US" w:eastAsia="zh-CN"/>
        </w:rPr>
        <w:t>；</w:t>
      </w:r>
      <w:r>
        <w:rPr>
          <w:rFonts w:hint="default" w:asciiTheme="majorEastAsia" w:hAnsiTheme="majorEastAsia" w:eastAsiaTheme="majorEastAsia" w:cstheme="majorEastAsia"/>
          <w:sz w:val="24"/>
          <w:szCs w:val="24"/>
          <w:lang w:val="en-US" w:eastAsia="zh-CN"/>
        </w:rPr>
        <w:t>为保安全，戚墅堰所严把产品质量关，确保产品符合要求</w:t>
      </w:r>
      <w:r>
        <w:rPr>
          <w:rFonts w:hint="eastAsia" w:asciiTheme="majorEastAsia" w:hAnsiTheme="majorEastAsia" w:eastAsiaTheme="majorEastAsia" w:cstheme="majorEastAsia"/>
          <w:sz w:val="24"/>
          <w:szCs w:val="24"/>
          <w:lang w:val="en-US" w:eastAsia="zh-CN"/>
        </w:rPr>
        <w:t>；</w:t>
      </w:r>
      <w:r>
        <w:rPr>
          <w:rFonts w:hint="default" w:asciiTheme="majorEastAsia" w:hAnsiTheme="majorEastAsia" w:eastAsiaTheme="majorEastAsia" w:cstheme="majorEastAsia"/>
          <w:sz w:val="24"/>
          <w:szCs w:val="24"/>
          <w:lang w:val="en-US" w:eastAsia="zh-CN"/>
        </w:rPr>
        <w:t>戚墅堰所向国内多地区派出多支售后服务保障团队，为各条高铁线路动车组的良好运行做出了重要贡献</w:t>
      </w:r>
      <w:r>
        <w:rPr>
          <w:rFonts w:hint="eastAsia" w:asciiTheme="majorEastAsia" w:hAnsiTheme="majorEastAsia" w:eastAsiaTheme="majorEastAsia" w:cstheme="majorEastAsia"/>
          <w:sz w:val="24"/>
          <w:szCs w:val="24"/>
          <w:lang w:val="en-US" w:eastAsia="zh-CN"/>
        </w:rPr>
        <w:t>；</w:t>
      </w:r>
      <w:r>
        <w:rPr>
          <w:rFonts w:hint="default" w:asciiTheme="majorEastAsia" w:hAnsiTheme="majorEastAsia" w:eastAsiaTheme="majorEastAsia" w:cstheme="majorEastAsia"/>
          <w:sz w:val="24"/>
          <w:szCs w:val="24"/>
          <w:lang w:val="en-US" w:eastAsia="zh-CN"/>
        </w:rPr>
        <w:t>为地方经济社会发展作贡献</w:t>
      </w: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的快速发展，带动了地方经济发展，不仅纳税额在地方名列前茅，而且发展周边企业成为公司的配套协作厂，主动坚定地履行社会责任，展现央企担当，为地方社会经济发展做出新的贡献。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积极实践常州市“帮扶”工作。</w:t>
      </w: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为建设老区献资献力，三年来公司经常组织为贫困户捐赠，组织员工敬老院探望，举办“爱心角”捐赠活动，在常州市“一袋牛奶的暴走”大型公益活动中组织百名青年志愿者为万人提供志愿服务，走进天爱儿儿童中心关注儿童健康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heme="majorEastAsia" w:hAnsiTheme="majorEastAsia" w:eastAsiaTheme="majorEastAsia" w:cstheme="majorEastAsia"/>
          <w:b w:val="0"/>
          <w:kern w:val="2"/>
          <w:sz w:val="24"/>
          <w:szCs w:val="24"/>
          <w:lang w:val="en-US" w:eastAsia="zh-CN" w:bidi="ar-SA"/>
        </w:rPr>
      </w:pPr>
      <w:r>
        <w:rPr>
          <w:rFonts w:hint="eastAsia" w:asciiTheme="majorEastAsia" w:hAnsiTheme="majorEastAsia" w:eastAsiaTheme="majorEastAsia" w:cstheme="majorEastAsia"/>
          <w:b w:val="0"/>
          <w:kern w:val="2"/>
          <w:sz w:val="24"/>
          <w:szCs w:val="24"/>
          <w:lang w:val="en-US" w:eastAsia="zh-CN" w:bidi="ar-SA"/>
        </w:rPr>
        <w:t>戚墅堰所积极</w:t>
      </w:r>
      <w:r>
        <w:rPr>
          <w:rFonts w:hint="default" w:asciiTheme="majorEastAsia" w:hAnsiTheme="majorEastAsia" w:eastAsiaTheme="majorEastAsia" w:cstheme="majorEastAsia"/>
          <w:b w:val="0"/>
          <w:kern w:val="2"/>
          <w:sz w:val="24"/>
          <w:szCs w:val="24"/>
          <w:lang w:val="en-US" w:eastAsia="zh-CN" w:bidi="ar-SA"/>
        </w:rPr>
        <w:t>做好全媒体融合与对外传播，讲述好公司创新创业和美德故事，传播好中国高铁工人精神，倡导好精益求精的工匠文化</w:t>
      </w:r>
      <w:r>
        <w:rPr>
          <w:rFonts w:hint="eastAsia" w:asciiTheme="majorEastAsia" w:hAnsiTheme="majorEastAsia" w:eastAsiaTheme="majorEastAsia" w:cstheme="majorEastAsia"/>
          <w:b w:val="0"/>
          <w:kern w:val="2"/>
          <w:sz w:val="24"/>
          <w:szCs w:val="24"/>
          <w:lang w:val="en-US" w:eastAsia="zh-CN" w:bidi="ar-SA"/>
        </w:rPr>
        <w:t>；</w:t>
      </w:r>
      <w:r>
        <w:rPr>
          <w:rFonts w:hint="default" w:asciiTheme="majorEastAsia" w:hAnsiTheme="majorEastAsia" w:eastAsiaTheme="majorEastAsia" w:cstheme="majorEastAsia"/>
          <w:b w:val="0"/>
          <w:kern w:val="2"/>
          <w:sz w:val="24"/>
          <w:szCs w:val="24"/>
          <w:lang w:val="en-US" w:eastAsia="zh-CN" w:bidi="ar-SA"/>
        </w:rPr>
        <w:t>创新开展好思想政治工作，健全激励机制和容错纠错机制，鼓励创新创业</w:t>
      </w:r>
      <w:r>
        <w:rPr>
          <w:rFonts w:hint="eastAsia" w:asciiTheme="majorEastAsia" w:hAnsiTheme="majorEastAsia" w:eastAsiaTheme="majorEastAsia" w:cstheme="majorEastAsia"/>
          <w:b w:val="0"/>
          <w:kern w:val="2"/>
          <w:sz w:val="24"/>
          <w:szCs w:val="24"/>
          <w:lang w:val="en-US" w:eastAsia="zh-CN" w:bidi="ar-SA"/>
        </w:rPr>
        <w:t>；</w:t>
      </w:r>
      <w:r>
        <w:rPr>
          <w:rFonts w:hint="default" w:asciiTheme="majorEastAsia" w:hAnsiTheme="majorEastAsia" w:eastAsiaTheme="majorEastAsia" w:cstheme="majorEastAsia"/>
          <w:b w:val="0"/>
          <w:kern w:val="2"/>
          <w:sz w:val="24"/>
          <w:szCs w:val="24"/>
          <w:lang w:val="en-US" w:eastAsia="zh-CN" w:bidi="ar-SA"/>
        </w:rPr>
        <w:t>一如既往地关心爱护干部员工，构建和谐劳动关系。近年来，先后获评全国文明单位、江苏省文明单位、常州市“爱心单位”、常州市“优秀志愿者团队”等荣誉称号。</w:t>
      </w:r>
    </w:p>
    <w:p>
      <w:pPr>
        <w:pStyle w:val="6"/>
        <w:numPr>
          <w:ilvl w:val="0"/>
          <w:numId w:val="0"/>
        </w:numPr>
        <w:ind w:leftChars="0" w:firstLine="482" w:firstLineChars="200"/>
        <w:rPr>
          <w:rFonts w:hint="default" w:cs="Times New Roman"/>
          <w:b/>
          <w:bCs w:val="0"/>
          <w:sz w:val="24"/>
          <w:szCs w:val="24"/>
          <w:lang w:val="en-US" w:eastAsia="zh-CN"/>
        </w:rPr>
      </w:pPr>
      <w:bookmarkStart w:id="36" w:name="_Toc24427"/>
      <w:r>
        <w:rPr>
          <w:rFonts w:hint="default" w:cs="Times New Roman"/>
          <w:b/>
          <w:bCs w:val="0"/>
          <w:sz w:val="24"/>
          <w:szCs w:val="24"/>
          <w:lang w:val="en-US" w:eastAsia="zh-CN"/>
        </w:rPr>
        <w:t>（</w:t>
      </w:r>
      <w:r>
        <w:rPr>
          <w:rFonts w:hint="eastAsia" w:cs="Times New Roman"/>
          <w:b/>
          <w:bCs w:val="0"/>
          <w:sz w:val="24"/>
          <w:szCs w:val="24"/>
          <w:lang w:val="en-US" w:eastAsia="zh-CN"/>
        </w:rPr>
        <w:t>4</w:t>
      </w:r>
      <w:r>
        <w:rPr>
          <w:rFonts w:hint="default" w:cs="Times New Roman"/>
          <w:b/>
          <w:bCs w:val="0"/>
          <w:sz w:val="24"/>
          <w:szCs w:val="24"/>
          <w:lang w:val="en-US" w:eastAsia="zh-CN"/>
        </w:rPr>
        <w:t>）质量信用记录</w:t>
      </w:r>
      <w:bookmarkEnd w:id="3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戚墅堰所一直遵循“遵章守法、诚实守信”原则，严格履行合同规定，得到质监等相关部门以及供应商和客户的一致好评，取得江苏省质量信用等级A级证书</w:t>
      </w:r>
      <w:r>
        <w:rPr>
          <w:rFonts w:hint="default" w:asciiTheme="majorEastAsia" w:hAnsiTheme="majorEastAsia" w:eastAsiaTheme="majorEastAsia" w:cstheme="major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Theme="majorEastAsia" w:hAnsiTheme="majorEastAsia" w:eastAsiaTheme="majorEastAsia" w:cstheme="majorEastAsia"/>
          <w:sz w:val="24"/>
          <w:szCs w:val="24"/>
          <w:lang w:val="en-US" w:eastAsia="zh-CN"/>
        </w:rPr>
      </w:pPr>
      <w:r>
        <w:rPr>
          <w:rFonts w:hint="default" w:asciiTheme="majorEastAsia" w:hAnsiTheme="majorEastAsia" w:eastAsiaTheme="majorEastAsia" w:cstheme="majorEastAsia"/>
          <w:sz w:val="24"/>
          <w:szCs w:val="24"/>
          <w:lang w:val="en-US" w:eastAsia="zh-CN"/>
        </w:rPr>
        <w:t>通过不断推进质量管理体系有效运行，产品设计、采购、生产制造、检验等各环节均得到了有效的管控，产品质量水平得到不断提升</w:t>
      </w:r>
      <w:r>
        <w:rPr>
          <w:rFonts w:hint="eastAsia" w:asciiTheme="majorEastAsia" w:hAnsiTheme="majorEastAsia" w:eastAsiaTheme="majorEastAsia" w:cstheme="majorEastAsia"/>
          <w:sz w:val="24"/>
          <w:szCs w:val="24"/>
          <w:lang w:val="en-US" w:eastAsia="zh-CN"/>
        </w:rPr>
        <w:t>。</w:t>
      </w:r>
    </w:p>
    <w:p>
      <w:pPr>
        <w:pStyle w:val="4"/>
        <w:rPr>
          <w:rFonts w:hint="eastAsia"/>
          <w:lang w:val="en-US" w:eastAsia="zh-CN"/>
        </w:rPr>
      </w:pPr>
      <w:bookmarkStart w:id="37" w:name="_Toc18482"/>
      <w:r>
        <w:rPr>
          <w:rFonts w:hint="eastAsia"/>
          <w:lang w:val="en-US" w:eastAsia="zh-CN"/>
        </w:rPr>
        <w:t>3</w:t>
      </w:r>
      <w:r>
        <w:rPr>
          <w:rFonts w:hint="default"/>
          <w:lang w:val="en-US" w:eastAsia="zh-CN"/>
        </w:rPr>
        <w:t xml:space="preserve"> 报告结语</w:t>
      </w:r>
      <w:bookmarkEnd w:id="3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多年来，戚墅堰所不断提高产品</w:t>
      </w:r>
      <w:r>
        <w:rPr>
          <w:rFonts w:hint="default" w:asciiTheme="majorEastAsia" w:hAnsiTheme="majorEastAsia" w:eastAsiaTheme="majorEastAsia" w:cstheme="majorEastAsia"/>
          <w:sz w:val="24"/>
          <w:szCs w:val="24"/>
          <w:lang w:val="en-US" w:eastAsia="zh-CN"/>
        </w:rPr>
        <w:t>质量</w:t>
      </w:r>
      <w:r>
        <w:rPr>
          <w:rFonts w:hint="eastAsia" w:asciiTheme="majorEastAsia" w:hAnsiTheme="majorEastAsia" w:eastAsiaTheme="majorEastAsia" w:cstheme="majorEastAsia"/>
          <w:sz w:val="24"/>
          <w:szCs w:val="24"/>
          <w:lang w:val="en-US" w:eastAsia="zh-CN"/>
        </w:rPr>
        <w:t>、服务质量和经营质量，推动质量品牌建设工作，提高顾客和相关方及员工满意度和忠诚度，提高核心竞争力和自主创新优势</w:t>
      </w:r>
      <w:r>
        <w:rPr>
          <w:rFonts w:hint="default" w:asciiTheme="majorEastAsia" w:hAnsiTheme="majorEastAsia" w:eastAsiaTheme="majorEastAsia" w:cstheme="majorEastAsia"/>
          <w:sz w:val="24"/>
          <w:szCs w:val="24"/>
          <w:lang w:val="en-US" w:eastAsia="zh-CN"/>
        </w:rPr>
        <w:t>。未来，</w:t>
      </w: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将</w:t>
      </w:r>
      <w:r>
        <w:rPr>
          <w:rFonts w:hint="eastAsia" w:asciiTheme="majorEastAsia" w:hAnsiTheme="majorEastAsia" w:eastAsiaTheme="majorEastAsia" w:cstheme="majorEastAsia"/>
          <w:sz w:val="24"/>
          <w:szCs w:val="24"/>
          <w:lang w:val="en-US" w:eastAsia="zh-CN"/>
        </w:rPr>
        <w:t>持续</w:t>
      </w:r>
      <w:r>
        <w:rPr>
          <w:rFonts w:hint="default" w:asciiTheme="majorEastAsia" w:hAnsiTheme="majorEastAsia" w:eastAsiaTheme="majorEastAsia" w:cstheme="majorEastAsia"/>
          <w:sz w:val="24"/>
          <w:szCs w:val="24"/>
          <w:lang w:val="en-US" w:eastAsia="zh-CN"/>
        </w:rPr>
        <w:t>以强烈的责任感和高度的使命感</w:t>
      </w:r>
      <w:r>
        <w:rPr>
          <w:rFonts w:hint="eastAsia" w:asciiTheme="majorEastAsia" w:hAnsiTheme="majorEastAsia" w:eastAsiaTheme="majorEastAsia" w:cstheme="majorEastAsia"/>
          <w:sz w:val="24"/>
          <w:szCs w:val="24"/>
          <w:lang w:val="en-US" w:eastAsia="zh-CN"/>
        </w:rPr>
        <w:t>落实高质量发展要求，持续推动质量保障能力建设</w:t>
      </w:r>
      <w:r>
        <w:rPr>
          <w:rFonts w:hint="default"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lang w:val="en-US" w:eastAsia="zh-CN"/>
        </w:rPr>
        <w:t>推动产品和服务质量水平提升，</w:t>
      </w:r>
      <w:r>
        <w:rPr>
          <w:rFonts w:hint="default" w:asciiTheme="majorEastAsia" w:hAnsiTheme="majorEastAsia" w:eastAsiaTheme="majorEastAsia" w:cstheme="majorEastAsia"/>
          <w:sz w:val="24"/>
          <w:szCs w:val="24"/>
          <w:lang w:val="en-US" w:eastAsia="zh-CN"/>
        </w:rPr>
        <w:t>稳固维系企业信用，以质量打造精品，以质量创造价值，以质量铸就品牌。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在质量诚信建设和实践中的成果，</w:t>
      </w:r>
      <w:r>
        <w:rPr>
          <w:rFonts w:hint="eastAsia" w:asciiTheme="majorEastAsia" w:hAnsiTheme="majorEastAsia" w:eastAsiaTheme="majorEastAsia" w:cstheme="majorEastAsia"/>
          <w:sz w:val="24"/>
          <w:szCs w:val="24"/>
          <w:lang w:val="en-US" w:eastAsia="zh-CN"/>
        </w:rPr>
        <w:t>展现了戚墅堰所</w:t>
      </w:r>
      <w:r>
        <w:rPr>
          <w:rFonts w:hint="default" w:asciiTheme="majorEastAsia" w:hAnsiTheme="majorEastAsia" w:eastAsiaTheme="majorEastAsia" w:cstheme="majorEastAsia"/>
          <w:sz w:val="24"/>
          <w:szCs w:val="24"/>
          <w:lang w:val="en-US" w:eastAsia="zh-CN"/>
        </w:rPr>
        <w:t>对产品和服务的质量和诚信是令人满意的，无质量投诉、无重大质量安全事故的结果诠释了</w:t>
      </w:r>
      <w:r>
        <w:rPr>
          <w:rFonts w:hint="eastAsia" w:asciiTheme="majorEastAsia" w:hAnsiTheme="majorEastAsia" w:eastAsiaTheme="majorEastAsia" w:cstheme="majorEastAsia"/>
          <w:sz w:val="24"/>
          <w:szCs w:val="24"/>
          <w:lang w:val="en-US" w:eastAsia="zh-CN"/>
        </w:rPr>
        <w:t>戚墅堰所</w:t>
      </w:r>
      <w:r>
        <w:rPr>
          <w:rFonts w:hint="default" w:asciiTheme="majorEastAsia" w:hAnsiTheme="majorEastAsia" w:eastAsiaTheme="majorEastAsia" w:cstheme="majorEastAsia"/>
          <w:sz w:val="24"/>
          <w:szCs w:val="24"/>
          <w:lang w:val="en-US" w:eastAsia="zh-CN"/>
        </w:rPr>
        <w:t>质量诚信管理的成果。</w:t>
      </w:r>
      <w:r>
        <w:rPr>
          <w:rFonts w:hint="eastAsia" w:asciiTheme="majorEastAsia" w:hAnsiTheme="majorEastAsia" w:eastAsiaTheme="majorEastAsia" w:cstheme="majorEastAsia"/>
          <w:sz w:val="24"/>
          <w:szCs w:val="24"/>
          <w:lang w:val="en-US" w:eastAsia="zh-CN"/>
        </w:rPr>
        <w:t>正心正道，善为善成，戚墅堰所将继续传递中车人为顾客提供精品的质量核心价值观，为建设受人尊敬的“好优美高强”世界一流中车提供坚实的质量基础支撑。</w:t>
      </w:r>
      <w:bookmarkStart w:id="38" w:name="_GoBack"/>
      <w:bookmarkEnd w:id="3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感谢和欢迎社会各界进行监督、指导！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公司名称：中车戚墅堰所机车车辆工艺研究所有限公司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公司地址：江苏省常州市五一258号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联系电话：0519-89808079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传    真：0519-89808066</w:t>
      </w:r>
    </w:p>
    <w:p>
      <w:pPr>
        <w:pStyle w:val="2"/>
        <w:rPr>
          <w:rFonts w:hint="eastAsia"/>
          <w:lang w:eastAsia="zh-CN"/>
        </w:rPr>
      </w:pPr>
    </w:p>
    <w:sectPr>
      <w:headerReference r:id="rId13" w:type="default"/>
      <w:footerReference r:id="rId14" w:type="default"/>
      <w:pgSz w:w="11906" w:h="16838"/>
      <w:pgMar w:top="1440" w:right="1080" w:bottom="1213" w:left="1080" w:header="454" w:footer="964"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object>
        <v:shape id="_x0000_i1025" o:spt="75" type="#_x0000_t75" style="height:32.4pt;width:288pt;" o:ole="t" filled="f" o:preferrelative="t" stroked="f" coordsize="21600,21600">
          <v:path/>
          <v:fill on="f" focussize="0,0"/>
          <v:stroke on="f"/>
          <v:imagedata r:id="rId2" o:title=""/>
          <o:lock v:ext="edit" aspectratio="f"/>
          <w10:wrap type="none"/>
          <w10:anchorlock/>
        </v:shape>
        <o:OLEObject Type="Embed" ProgID="Picture.PicObj.1" ShapeID="_x0000_i1025" DrawAspect="Content" ObjectID="_1468075725" r:id="rId1">
          <o:LockedField>false</o:LockedField>
        </o:OLEObject>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center"/>
    </w:pPr>
    <w:r>
      <w:object>
        <v:shape id="_x0000_i1026" o:spt="75" type="#_x0000_t75" style="height:32.4pt;width:288pt;" o:ole="t" filled="f" o:preferrelative="t" stroked="f" coordsize="21600,21600">
          <v:path/>
          <v:fill on="f" focussize="0,0"/>
          <v:stroke on="f"/>
          <v:imagedata r:id="rId2" o:title=""/>
          <o:lock v:ext="edit" aspectratio="f"/>
          <w10:wrap type="none"/>
          <w10:anchorlock/>
        </v:shape>
        <o:OLEObject Type="Embed" ProgID="StaticMetafile" ShapeID="_x0000_i1026" DrawAspect="Content" ObjectID="_1468075726" r:id="rId1">
          <o:LockedField>false</o:LockedField>
        </o:OLEObject>
      </w:obje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pPr>
    <w:r>
      <w:object>
        <v:shape id="_x0000_i1028" o:spt="75" type="#_x0000_t75" style="height:32.4pt;width:288pt;" o:ole="t" filled="f" o:preferrelative="t" stroked="f" coordsize="21600,21600">
          <v:path/>
          <v:fill on="f" focussize="0,0"/>
          <v:stroke on="f"/>
          <v:imagedata r:id="rId2" o:title=""/>
          <o:lock v:ext="edit" aspectratio="f"/>
          <w10:wrap type="none"/>
          <w10:anchorlock/>
        </v:shape>
        <o:OLEObject Type="Embed" ProgID="StaticMetafile" ShapeID="_x0000_i1028" DrawAspect="Content" ObjectID="_1468075727" r:id="rId1">
          <o:LockedField>false</o:LockedField>
        </o:OLEObject>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CE6540"/>
    <w:multiLevelType w:val="singleLevel"/>
    <w:tmpl w:val="EECE6540"/>
    <w:lvl w:ilvl="0" w:tentative="0">
      <w:start w:val="1"/>
      <w:numFmt w:val="decimal"/>
      <w:suff w:val="nothing"/>
      <w:lvlText w:val="（%1）"/>
      <w:lvlJc w:val="left"/>
    </w:lvl>
  </w:abstractNum>
  <w:abstractNum w:abstractNumId="1">
    <w:nsid w:val="7E3B5283"/>
    <w:multiLevelType w:val="singleLevel"/>
    <w:tmpl w:val="7E3B5283"/>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06982"/>
    <w:rsid w:val="006F02B5"/>
    <w:rsid w:val="007A577A"/>
    <w:rsid w:val="008177C0"/>
    <w:rsid w:val="00916CD4"/>
    <w:rsid w:val="00FD24E9"/>
    <w:rsid w:val="018877B4"/>
    <w:rsid w:val="02EB092C"/>
    <w:rsid w:val="06084782"/>
    <w:rsid w:val="081A238C"/>
    <w:rsid w:val="09F27DE5"/>
    <w:rsid w:val="0AF13ED8"/>
    <w:rsid w:val="0B504A53"/>
    <w:rsid w:val="0B89240F"/>
    <w:rsid w:val="0BBE060C"/>
    <w:rsid w:val="0BC93100"/>
    <w:rsid w:val="0C8867BC"/>
    <w:rsid w:val="0CEA1432"/>
    <w:rsid w:val="0D8650AB"/>
    <w:rsid w:val="0DB05DDA"/>
    <w:rsid w:val="0EAE6B2B"/>
    <w:rsid w:val="0EC755AC"/>
    <w:rsid w:val="0ECD095D"/>
    <w:rsid w:val="0F5C7B57"/>
    <w:rsid w:val="10C67948"/>
    <w:rsid w:val="111E3461"/>
    <w:rsid w:val="11654527"/>
    <w:rsid w:val="11E121E5"/>
    <w:rsid w:val="11F64F95"/>
    <w:rsid w:val="12000786"/>
    <w:rsid w:val="126631F3"/>
    <w:rsid w:val="1298765A"/>
    <w:rsid w:val="13DE688D"/>
    <w:rsid w:val="14362B87"/>
    <w:rsid w:val="14965D51"/>
    <w:rsid w:val="14EB3EB2"/>
    <w:rsid w:val="164E412F"/>
    <w:rsid w:val="17A80FC8"/>
    <w:rsid w:val="19362B06"/>
    <w:rsid w:val="19444410"/>
    <w:rsid w:val="1C4938D5"/>
    <w:rsid w:val="1C9D4337"/>
    <w:rsid w:val="1D3244E4"/>
    <w:rsid w:val="1E7C7CFC"/>
    <w:rsid w:val="1F121577"/>
    <w:rsid w:val="1F7F5A6D"/>
    <w:rsid w:val="1FD86A1B"/>
    <w:rsid w:val="20097518"/>
    <w:rsid w:val="20C86435"/>
    <w:rsid w:val="21ED4681"/>
    <w:rsid w:val="21F31210"/>
    <w:rsid w:val="21FA5CF7"/>
    <w:rsid w:val="21FB32D3"/>
    <w:rsid w:val="23772DF9"/>
    <w:rsid w:val="23B23BAA"/>
    <w:rsid w:val="24080273"/>
    <w:rsid w:val="241A63C4"/>
    <w:rsid w:val="24241ABE"/>
    <w:rsid w:val="246168D8"/>
    <w:rsid w:val="24BB7DA2"/>
    <w:rsid w:val="252B132A"/>
    <w:rsid w:val="257B3AC3"/>
    <w:rsid w:val="262940EF"/>
    <w:rsid w:val="2647126D"/>
    <w:rsid w:val="280C7249"/>
    <w:rsid w:val="2825450A"/>
    <w:rsid w:val="29097826"/>
    <w:rsid w:val="29D12067"/>
    <w:rsid w:val="29FA3877"/>
    <w:rsid w:val="2A1A760B"/>
    <w:rsid w:val="2A805E63"/>
    <w:rsid w:val="2AA87F6B"/>
    <w:rsid w:val="2AC5382B"/>
    <w:rsid w:val="2C48070C"/>
    <w:rsid w:val="2C524A98"/>
    <w:rsid w:val="2E92066C"/>
    <w:rsid w:val="2EE51DBA"/>
    <w:rsid w:val="2F412AAB"/>
    <w:rsid w:val="2FB60E7E"/>
    <w:rsid w:val="30670728"/>
    <w:rsid w:val="315D27B4"/>
    <w:rsid w:val="31BF688C"/>
    <w:rsid w:val="32A36330"/>
    <w:rsid w:val="330F0630"/>
    <w:rsid w:val="33256763"/>
    <w:rsid w:val="346B2740"/>
    <w:rsid w:val="3492215F"/>
    <w:rsid w:val="34B910C0"/>
    <w:rsid w:val="34CD57DE"/>
    <w:rsid w:val="359D1C66"/>
    <w:rsid w:val="35A12999"/>
    <w:rsid w:val="36035715"/>
    <w:rsid w:val="36FE43F8"/>
    <w:rsid w:val="37BB38BF"/>
    <w:rsid w:val="381148F0"/>
    <w:rsid w:val="389568F0"/>
    <w:rsid w:val="392A02F5"/>
    <w:rsid w:val="3A1765BC"/>
    <w:rsid w:val="3A765AF6"/>
    <w:rsid w:val="3BD4722A"/>
    <w:rsid w:val="3D9435C9"/>
    <w:rsid w:val="3EFC3A79"/>
    <w:rsid w:val="40985A3E"/>
    <w:rsid w:val="40CF7C0D"/>
    <w:rsid w:val="41124343"/>
    <w:rsid w:val="424D6FB1"/>
    <w:rsid w:val="42F870D9"/>
    <w:rsid w:val="44D60BBA"/>
    <w:rsid w:val="461C479E"/>
    <w:rsid w:val="470F0ED4"/>
    <w:rsid w:val="47121E76"/>
    <w:rsid w:val="475B305A"/>
    <w:rsid w:val="47EF6BE7"/>
    <w:rsid w:val="47F63477"/>
    <w:rsid w:val="482C76C1"/>
    <w:rsid w:val="48916BAF"/>
    <w:rsid w:val="493C03C8"/>
    <w:rsid w:val="493D0DA8"/>
    <w:rsid w:val="4B310216"/>
    <w:rsid w:val="4BBA7298"/>
    <w:rsid w:val="4C50241D"/>
    <w:rsid w:val="4C6D6B70"/>
    <w:rsid w:val="4CB540E9"/>
    <w:rsid w:val="4D0A6FE9"/>
    <w:rsid w:val="4D4A4125"/>
    <w:rsid w:val="4DBE07CE"/>
    <w:rsid w:val="4DC12A51"/>
    <w:rsid w:val="4DEE171E"/>
    <w:rsid w:val="4E00447C"/>
    <w:rsid w:val="4E912E69"/>
    <w:rsid w:val="4EA53486"/>
    <w:rsid w:val="5049406F"/>
    <w:rsid w:val="50E406FB"/>
    <w:rsid w:val="511E4CB5"/>
    <w:rsid w:val="519A728A"/>
    <w:rsid w:val="53CD26C5"/>
    <w:rsid w:val="54037CF0"/>
    <w:rsid w:val="561D6779"/>
    <w:rsid w:val="56354DAE"/>
    <w:rsid w:val="567D5B05"/>
    <w:rsid w:val="56961903"/>
    <w:rsid w:val="56E72551"/>
    <w:rsid w:val="5795599F"/>
    <w:rsid w:val="57BF1434"/>
    <w:rsid w:val="57F62817"/>
    <w:rsid w:val="597E0A4B"/>
    <w:rsid w:val="59BC0F03"/>
    <w:rsid w:val="5A477A60"/>
    <w:rsid w:val="5B6E1E27"/>
    <w:rsid w:val="5CCB334E"/>
    <w:rsid w:val="5DCE6FCC"/>
    <w:rsid w:val="5F276D67"/>
    <w:rsid w:val="5F354FBA"/>
    <w:rsid w:val="5F4500C8"/>
    <w:rsid w:val="5F701AD5"/>
    <w:rsid w:val="6008017F"/>
    <w:rsid w:val="60174C77"/>
    <w:rsid w:val="601C33C3"/>
    <w:rsid w:val="612C7EF6"/>
    <w:rsid w:val="612E33BE"/>
    <w:rsid w:val="613D71E7"/>
    <w:rsid w:val="61537822"/>
    <w:rsid w:val="63C01E02"/>
    <w:rsid w:val="63E073A1"/>
    <w:rsid w:val="653040E7"/>
    <w:rsid w:val="65725700"/>
    <w:rsid w:val="682D5FB1"/>
    <w:rsid w:val="68A81277"/>
    <w:rsid w:val="69360D8A"/>
    <w:rsid w:val="69601DF3"/>
    <w:rsid w:val="698D50B4"/>
    <w:rsid w:val="6A2527A1"/>
    <w:rsid w:val="6A626DE8"/>
    <w:rsid w:val="6B661819"/>
    <w:rsid w:val="6B66693C"/>
    <w:rsid w:val="6C475C1C"/>
    <w:rsid w:val="6D9637DE"/>
    <w:rsid w:val="6EB9454C"/>
    <w:rsid w:val="6F5F35FA"/>
    <w:rsid w:val="70C53BFD"/>
    <w:rsid w:val="71137092"/>
    <w:rsid w:val="71BF33A8"/>
    <w:rsid w:val="73334B0B"/>
    <w:rsid w:val="73994F45"/>
    <w:rsid w:val="74074475"/>
    <w:rsid w:val="74FD3A49"/>
    <w:rsid w:val="75030839"/>
    <w:rsid w:val="77FB15F1"/>
    <w:rsid w:val="78451DDF"/>
    <w:rsid w:val="7A9B4F5E"/>
    <w:rsid w:val="7A9C0C4B"/>
    <w:rsid w:val="7BDE3814"/>
    <w:rsid w:val="7C083F20"/>
    <w:rsid w:val="7C763661"/>
    <w:rsid w:val="7C96251E"/>
    <w:rsid w:val="7DE404CF"/>
    <w:rsid w:val="7F1E49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FFFF" joinstyle="miter"/>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22"/>
    <w:qFormat/>
    <w:uiPriority w:val="0"/>
    <w:pPr>
      <w:keepNext/>
      <w:keepLines/>
      <w:spacing w:before="220" w:beforeLines="0" w:beforeAutospacing="0" w:after="210" w:afterLines="0" w:afterAutospacing="0" w:line="360" w:lineRule="auto"/>
      <w:outlineLvl w:val="0"/>
    </w:pPr>
    <w:rPr>
      <w:rFonts w:eastAsia="宋体"/>
      <w:b/>
      <w:kern w:val="44"/>
      <w:sz w:val="32"/>
    </w:rPr>
  </w:style>
  <w:style w:type="paragraph" w:styleId="5">
    <w:name w:val="heading 2"/>
    <w:basedOn w:val="1"/>
    <w:next w:val="1"/>
    <w:unhideWhenUsed/>
    <w:qFormat/>
    <w:uiPriority w:val="0"/>
    <w:pPr>
      <w:keepNext/>
      <w:keepLines/>
      <w:spacing w:before="140" w:beforeLines="0" w:beforeAutospacing="0" w:after="140" w:afterLines="0" w:afterAutospacing="0" w:line="413" w:lineRule="auto"/>
      <w:outlineLvl w:val="1"/>
    </w:pPr>
    <w:rPr>
      <w:rFonts w:ascii="Arial" w:hAnsi="Arial" w:eastAsia="黑体"/>
      <w:b/>
      <w:sz w:val="30"/>
    </w:rPr>
  </w:style>
  <w:style w:type="paragraph" w:styleId="6">
    <w:name w:val="heading 3"/>
    <w:basedOn w:val="1"/>
    <w:next w:val="1"/>
    <w:unhideWhenUsed/>
    <w:qFormat/>
    <w:uiPriority w:val="0"/>
    <w:pPr>
      <w:keepNext/>
      <w:keepLines/>
      <w:spacing w:before="20" w:beforeLines="0" w:beforeAutospacing="0" w:after="20" w:afterLines="0" w:afterAutospacing="0" w:line="413" w:lineRule="auto"/>
      <w:outlineLvl w:val="2"/>
    </w:pPr>
    <w:rPr>
      <w:b/>
      <w:sz w:val="28"/>
    </w:rPr>
  </w:style>
  <w:style w:type="character" w:default="1" w:styleId="15">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qFormat/>
    <w:uiPriority w:val="0"/>
    <w:pPr>
      <w:ind w:firstLine="420"/>
      <w:jc w:val="left"/>
    </w:pPr>
  </w:style>
  <w:style w:type="paragraph" w:styleId="3">
    <w:name w:val="Body Text Indent"/>
    <w:basedOn w:val="1"/>
    <w:qFormat/>
    <w:uiPriority w:val="0"/>
    <w:pPr>
      <w:spacing w:after="120"/>
      <w:ind w:left="420" w:leftChars="200"/>
    </w:pPr>
  </w:style>
  <w:style w:type="paragraph" w:styleId="7">
    <w:name w:val="annotation text"/>
    <w:basedOn w:val="1"/>
    <w:unhideWhenUsed/>
    <w:qFormat/>
    <w:uiPriority w:val="99"/>
    <w:pPr>
      <w:jc w:val="left"/>
    </w:pPr>
  </w:style>
  <w:style w:type="paragraph" w:styleId="8">
    <w:name w:val="toc 3"/>
    <w:basedOn w:val="1"/>
    <w:next w:val="1"/>
    <w:unhideWhenUsed/>
    <w:qFormat/>
    <w:uiPriority w:val="39"/>
    <w:pPr>
      <w:ind w:left="840" w:leftChars="400"/>
    </w:pPr>
  </w:style>
  <w:style w:type="paragraph" w:styleId="9">
    <w:name w:val="footer"/>
    <w:basedOn w:val="1"/>
    <w:unhideWhenUsed/>
    <w:qFormat/>
    <w:uiPriority w:val="99"/>
    <w:pPr>
      <w:tabs>
        <w:tab w:val="center" w:pos="4153"/>
        <w:tab w:val="right" w:pos="8306"/>
      </w:tabs>
      <w:snapToGrid w:val="0"/>
      <w:jc w:val="left"/>
    </w:pPr>
    <w:rPr>
      <w:sz w:val="18"/>
    </w:rPr>
  </w:style>
  <w:style w:type="paragraph" w:styleId="10">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nhideWhenUsed/>
    <w:qFormat/>
    <w:uiPriority w:val="39"/>
  </w:style>
  <w:style w:type="paragraph" w:styleId="12">
    <w:name w:val="toc 4"/>
    <w:basedOn w:val="1"/>
    <w:next w:val="1"/>
    <w:unhideWhenUsed/>
    <w:qFormat/>
    <w:uiPriority w:val="39"/>
    <w:pPr>
      <w:ind w:left="1260" w:leftChars="600"/>
    </w:pPr>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99"/>
    <w:rPr>
      <w:sz w:val="24"/>
    </w:rPr>
  </w:style>
  <w:style w:type="character" w:styleId="16">
    <w:name w:val="Emphasis"/>
    <w:qFormat/>
    <w:uiPriority w:val="0"/>
    <w:rPr>
      <w:color w:val="CC0000"/>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rPr>
  </w:style>
  <w:style w:type="paragraph" w:customStyle="1" w:styleId="20">
    <w:name w:val="表格标题"/>
    <w:basedOn w:val="21"/>
    <w:qFormat/>
    <w:uiPriority w:val="0"/>
    <w:rPr>
      <w:b w:val="0"/>
      <w:color w:val="auto"/>
      <w:sz w:val="21"/>
      <w:szCs w:val="24"/>
    </w:rPr>
  </w:style>
  <w:style w:type="paragraph" w:customStyle="1" w:styleId="21">
    <w:name w:val="表格行"/>
    <w:basedOn w:val="1"/>
    <w:qFormat/>
    <w:uiPriority w:val="0"/>
    <w:pPr>
      <w:widowControl/>
      <w:spacing w:line="360" w:lineRule="auto"/>
      <w:jc w:val="center"/>
    </w:pPr>
    <w:rPr>
      <w:rFonts w:ascii="Calibri" w:hAnsi="Calibri"/>
      <w:b/>
      <w:color w:val="FFFFFF"/>
      <w:kern w:val="0"/>
      <w:sz w:val="24"/>
      <w:szCs w:val="21"/>
    </w:rPr>
  </w:style>
  <w:style w:type="character" w:customStyle="1" w:styleId="22">
    <w:name w:val="标题 1 Char"/>
    <w:link w:val="4"/>
    <w:qFormat/>
    <w:uiPriority w:val="0"/>
    <w:rPr>
      <w:rFonts w:eastAsia="宋体"/>
      <w:b/>
      <w:kern w:val="44"/>
      <w:sz w:val="32"/>
    </w:rPr>
  </w:style>
  <w:style w:type="paragraph" w:customStyle="1" w:styleId="23">
    <w:name w:val="样式1"/>
    <w:basedOn w:val="1"/>
    <w:qFormat/>
    <w:uiPriority w:val="0"/>
    <w:pPr>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emf"/><Relationship Id="rId22" Type="http://schemas.openxmlformats.org/officeDocument/2006/relationships/oleObject" Target="embeddings/oleObject5.bin"/><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wmf"/><Relationship Id="rId16" Type="http://schemas.openxmlformats.org/officeDocument/2006/relationships/oleObject" Target="embeddings/oleObject4.bin"/><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1.bin"/></Relationships>
</file>

<file path=word/_rels/header5.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2.bin"/></Relationships>
</file>

<file path=word/_rels/header6.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8378</Words>
  <Characters>8869</Characters>
  <Lines>2</Lines>
  <Paragraphs>1</Paragraphs>
  <TotalTime>2</TotalTime>
  <ScaleCrop>false</ScaleCrop>
  <LinksUpToDate>false</LinksUpToDate>
  <CharactersWithSpaces>9076</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2019-09-10T00:00:00Z</dcterms:created>
  <dc:creator>Administrator</dc:creator>
  <cp:lastModifiedBy>Administrator</cp:lastModifiedBy>
  <cp:lastPrinted>2021-04-30T06:21:00Z</cp:lastPrinted>
  <dcterms:modified xsi:type="dcterms:W3CDTF">2021-07-27T00:47:13Z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