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91" w:firstLineChars="800"/>
        <w:jc w:val="both"/>
        <w:rPr>
          <w:rFonts w:hint="eastAsia" w:ascii="Calibri" w:hAnsi="Calibri" w:eastAsia="宋体" w:cs="Times New Roman"/>
          <w:b/>
          <w:bCs/>
          <w:sz w:val="36"/>
          <w:szCs w:val="36"/>
          <w:lang w:val="en-US" w:eastAsia="zh-CN"/>
        </w:rPr>
      </w:pPr>
      <w:bookmarkStart w:id="0" w:name="_Toc385862436"/>
    </w:p>
    <w:p>
      <w:pPr>
        <w:ind w:firstLine="2891" w:firstLineChars="800"/>
        <w:jc w:val="both"/>
        <w:rPr>
          <w:rFonts w:hint="eastAsia" w:ascii="Calibri" w:hAnsi="Calibri" w:eastAsia="宋体" w:cs="Times New Roman"/>
          <w:b/>
          <w:bCs/>
          <w:sz w:val="36"/>
          <w:szCs w:val="36"/>
          <w:lang w:val="en-US" w:eastAsia="zh-CN"/>
        </w:rPr>
      </w:pPr>
    </w:p>
    <w:p>
      <w:pPr>
        <w:ind w:firstLine="2891" w:firstLineChars="800"/>
        <w:jc w:val="both"/>
        <w:rPr>
          <w:rFonts w:hint="eastAsia" w:ascii="Calibri" w:hAnsi="Calibri" w:eastAsia="宋体" w:cs="Times New Roman"/>
          <w:b/>
          <w:bCs/>
          <w:sz w:val="36"/>
          <w:szCs w:val="36"/>
          <w:lang w:val="en-US" w:eastAsia="zh-CN"/>
        </w:rPr>
      </w:pPr>
    </w:p>
    <w:p>
      <w:pPr>
        <w:ind w:firstLine="2891" w:firstLineChars="800"/>
        <w:jc w:val="both"/>
        <w:rPr>
          <w:rFonts w:hint="eastAsia" w:ascii="Calibri" w:hAnsi="Calibri" w:eastAsia="宋体" w:cs="Times New Roman"/>
          <w:b/>
          <w:bCs/>
          <w:sz w:val="36"/>
          <w:szCs w:val="36"/>
          <w:lang w:val="en-US" w:eastAsia="zh-CN"/>
        </w:rPr>
      </w:pPr>
    </w:p>
    <w:p>
      <w:pPr>
        <w:ind w:firstLine="2891" w:firstLineChars="800"/>
        <w:jc w:val="both"/>
        <w:rPr>
          <w:rFonts w:hint="default" w:ascii="Calibri" w:hAnsi="Calibri" w:eastAsia="宋体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sz w:val="36"/>
          <w:szCs w:val="36"/>
          <w:lang w:val="en-US" w:eastAsia="zh-CN"/>
        </w:rPr>
        <w:t>环境保护</w:t>
      </w:r>
      <w:r>
        <w:rPr>
          <w:rFonts w:hint="eastAsia" w:ascii="Calibri" w:hAnsi="Calibri" w:cs="Times New Roman"/>
          <w:b/>
          <w:bCs/>
          <w:sz w:val="36"/>
          <w:szCs w:val="36"/>
          <w:lang w:val="en-US" w:eastAsia="zh-CN"/>
        </w:rPr>
        <w:t>管理规定</w:t>
      </w:r>
    </w:p>
    <w:p>
      <w:pPr>
        <w:jc w:val="center"/>
        <w:rPr>
          <w:rFonts w:ascii="幼圆" w:eastAsia="幼圆"/>
          <w:b/>
          <w:bCs/>
          <w:spacing w:val="20"/>
          <w:sz w:val="28"/>
          <w:szCs w:val="28"/>
        </w:rPr>
      </w:pPr>
    </w:p>
    <w:p>
      <w:pPr>
        <w:jc w:val="center"/>
        <w:rPr>
          <w:rFonts w:ascii="幼圆" w:eastAsia="幼圆"/>
          <w:b/>
          <w:bCs/>
          <w:sz w:val="32"/>
          <w:szCs w:val="32"/>
        </w:rPr>
      </w:pPr>
    </w:p>
    <w:p>
      <w:pPr>
        <w:spacing w:line="360" w:lineRule="auto"/>
        <w:rPr>
          <w:b/>
          <w:sz w:val="30"/>
        </w:rPr>
      </w:pPr>
      <w:r>
        <w:rPr>
          <w:rFonts w:ascii="幼圆" w:eastAsia="幼圆"/>
          <w:sz w:val="20"/>
        </w:rPr>
        <w:pict>
          <v:line id="直接连接符 1" o:spid="_x0000_s1026" o:spt="20" style="position:absolute;left:0pt;margin-left:-21pt;margin-top:11.4pt;height:0pt;width:482.25pt;z-index:251659264;mso-width-relative:page;mso-height-relative:page;" filled="f" stroked="t" coordsize="21600,21600" o:gfxdata="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3vYO61gAAAAkBAAAPAAAAAAAAAAEAIAAAACIAAABkcnMvZG93bnJldi54bWxQSwECFAAU&#10;AAAACACHTuJAwo8LL/MBAADkAwAADgAAAAAAAAABACAAAAAlAQAAZHJzL2Uyb0RvYy54bWxQSwUG&#10;AAAAAAYABgBZAQAAigUAAAAA&#10;">
            <v:path arrowok="t"/>
            <v:fill on="f" focussize="0,0"/>
            <v:stroke joinstyle="round"/>
            <v:imagedata o:title=""/>
            <o:lock v:ext="edit" aspectratio="f"/>
          </v:line>
        </w:pict>
      </w:r>
    </w:p>
    <w:p>
      <w:pPr>
        <w:spacing w:line="360" w:lineRule="auto"/>
        <w:rPr>
          <w:b/>
          <w:sz w:val="30"/>
        </w:rPr>
      </w:pPr>
    </w:p>
    <w:p>
      <w:pPr>
        <w:spacing w:line="360" w:lineRule="auto"/>
        <w:rPr>
          <w:b/>
          <w:sz w:val="30"/>
        </w:rPr>
      </w:pPr>
    </w:p>
    <w:p>
      <w:pPr>
        <w:spacing w:line="360" w:lineRule="auto"/>
        <w:rPr>
          <w:b/>
          <w:sz w:val="30"/>
        </w:rPr>
      </w:pPr>
    </w:p>
    <w:p>
      <w:pPr>
        <w:spacing w:line="360" w:lineRule="auto"/>
        <w:rPr>
          <w:b/>
          <w:sz w:val="30"/>
        </w:rPr>
      </w:pPr>
    </w:p>
    <w:p>
      <w:pPr>
        <w:spacing w:line="360" w:lineRule="auto"/>
        <w:rPr>
          <w:b/>
          <w:sz w:val="30"/>
        </w:rPr>
      </w:pPr>
      <w:r>
        <w:rPr>
          <w:rFonts w:hint="eastAsia"/>
          <w:b/>
          <w:sz w:val="30"/>
        </w:rPr>
        <w:t xml:space="preserve">           </w:t>
      </w:r>
      <w:r>
        <w:rPr>
          <w:rFonts w:hint="eastAsia"/>
          <w:sz w:val="32"/>
          <w:szCs w:val="32"/>
        </w:rPr>
        <w:t xml:space="preserve"> </w:t>
      </w:r>
    </w:p>
    <w:p>
      <w:pPr>
        <w:spacing w:line="360" w:lineRule="auto"/>
        <w:rPr>
          <w:b/>
          <w:sz w:val="30"/>
        </w:rPr>
      </w:pPr>
    </w:p>
    <w:p>
      <w:pPr>
        <w:spacing w:line="360" w:lineRule="auto"/>
        <w:rPr>
          <w:b/>
          <w:sz w:val="30"/>
        </w:rPr>
      </w:pPr>
    </w:p>
    <w:p>
      <w:pPr>
        <w:spacing w:line="480" w:lineRule="auto"/>
        <w:ind w:firstLine="3060" w:firstLineChars="850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</w:rPr>
        <w:t xml:space="preserve">编   制： </w:t>
      </w:r>
      <w:r>
        <w:rPr>
          <w:rFonts w:hint="eastAsia"/>
          <w:sz w:val="36"/>
          <w:szCs w:val="36"/>
          <w:lang w:val="en-US" w:eastAsia="zh-CN"/>
        </w:rPr>
        <w:t>陈明哲</w:t>
      </w:r>
    </w:p>
    <w:p>
      <w:pPr>
        <w:spacing w:line="480" w:lineRule="auto"/>
        <w:ind w:firstLine="3060" w:firstLineChars="850"/>
        <w:rPr>
          <w:sz w:val="36"/>
          <w:szCs w:val="36"/>
        </w:rPr>
      </w:pPr>
      <w:r>
        <w:rPr>
          <w:rFonts w:hint="eastAsia"/>
          <w:sz w:val="36"/>
          <w:szCs w:val="36"/>
        </w:rPr>
        <w:t>审   核：</w:t>
      </w:r>
      <w:r>
        <w:rPr>
          <w:rFonts w:hint="eastAsia"/>
          <w:sz w:val="36"/>
          <w:szCs w:val="36"/>
          <w:lang w:val="en-US" w:eastAsia="zh-CN"/>
        </w:rPr>
        <w:t xml:space="preserve"> 米劲臣</w:t>
      </w:r>
      <w:r>
        <w:rPr>
          <w:rFonts w:hint="eastAsia"/>
          <w:sz w:val="36"/>
          <w:szCs w:val="36"/>
        </w:rPr>
        <w:t xml:space="preserve"> </w:t>
      </w:r>
    </w:p>
    <w:p>
      <w:pPr>
        <w:spacing w:line="480" w:lineRule="auto"/>
        <w:ind w:firstLine="3060" w:firstLineChars="850"/>
        <w:rPr>
          <w:rFonts w:hint="default"/>
          <w:sz w:val="36"/>
          <w:szCs w:val="36"/>
          <w:lang w:val="en-US"/>
        </w:rPr>
      </w:pPr>
      <w:r>
        <w:rPr>
          <w:rFonts w:hint="eastAsia"/>
          <w:sz w:val="36"/>
          <w:szCs w:val="36"/>
        </w:rPr>
        <w:t>批   准：</w:t>
      </w:r>
      <w:r>
        <w:rPr>
          <w:rFonts w:hint="eastAsia"/>
          <w:sz w:val="36"/>
          <w:szCs w:val="36"/>
          <w:lang w:val="en-US" w:eastAsia="zh-CN"/>
        </w:rPr>
        <w:t xml:space="preserve"> 段晓</w:t>
      </w:r>
    </w:p>
    <w:p>
      <w:pPr>
        <w:spacing w:line="360" w:lineRule="auto"/>
        <w:rPr>
          <w:b/>
          <w:sz w:val="30"/>
        </w:rPr>
      </w:pPr>
    </w:p>
    <w:p>
      <w:pPr>
        <w:ind w:firstLine="320" w:firstLineChars="100"/>
        <w:rPr>
          <w:rFonts w:ascii="幼圆" w:eastAsia="幼圆"/>
          <w:spacing w:val="20"/>
          <w:sz w:val="32"/>
          <w:szCs w:val="32"/>
        </w:rPr>
      </w:pPr>
      <w:r>
        <w:rPr>
          <w:rFonts w:ascii="幼圆" w:eastAsia="幼圆" w:cs="幼圆"/>
          <w:sz w:val="32"/>
          <w:szCs w:val="32"/>
        </w:rPr>
        <w:t>20</w:t>
      </w:r>
      <w:r>
        <w:rPr>
          <w:rFonts w:hint="eastAsia" w:ascii="幼圆" w:eastAsia="幼圆" w:cs="幼圆"/>
          <w:sz w:val="32"/>
          <w:szCs w:val="32"/>
          <w:lang w:val="en-US" w:eastAsia="zh-CN"/>
        </w:rPr>
        <w:t>24</w:t>
      </w:r>
      <w:r>
        <w:rPr>
          <w:rFonts w:ascii="幼圆" w:eastAsia="幼圆" w:cs="幼圆"/>
          <w:sz w:val="32"/>
          <w:szCs w:val="32"/>
        </w:rPr>
        <w:t>-0</w:t>
      </w:r>
      <w:r>
        <w:rPr>
          <w:rFonts w:hint="eastAsia" w:ascii="幼圆" w:eastAsia="幼圆" w:cs="幼圆"/>
          <w:sz w:val="32"/>
          <w:szCs w:val="32"/>
          <w:lang w:val="en-US" w:eastAsia="zh-CN"/>
        </w:rPr>
        <w:t>1</w:t>
      </w:r>
      <w:r>
        <w:rPr>
          <w:rFonts w:ascii="幼圆" w:eastAsia="幼圆" w:cs="幼圆"/>
          <w:sz w:val="32"/>
          <w:szCs w:val="32"/>
        </w:rPr>
        <w:t>-0</w:t>
      </w:r>
      <w:r>
        <w:rPr>
          <w:rFonts w:hint="eastAsia" w:ascii="幼圆" w:eastAsia="幼圆" w:cs="幼圆"/>
          <w:sz w:val="32"/>
          <w:szCs w:val="32"/>
          <w:lang w:val="en-US" w:eastAsia="zh-CN"/>
        </w:rPr>
        <w:t>3</w:t>
      </w:r>
      <w:r>
        <w:rPr>
          <w:rFonts w:hint="eastAsia" w:ascii="幼圆" w:eastAsia="幼圆" w:cs="幼圆"/>
          <w:sz w:val="32"/>
          <w:szCs w:val="32"/>
        </w:rPr>
        <w:t>发布</w:t>
      </w:r>
      <w:r>
        <w:rPr>
          <w:rFonts w:ascii="幼圆" w:eastAsia="幼圆" w:cs="幼圆"/>
          <w:sz w:val="32"/>
          <w:szCs w:val="32"/>
        </w:rPr>
        <w:t xml:space="preserve">                       20</w:t>
      </w:r>
      <w:r>
        <w:rPr>
          <w:rFonts w:hint="eastAsia" w:ascii="幼圆" w:eastAsia="幼圆" w:cs="幼圆"/>
          <w:sz w:val="32"/>
          <w:szCs w:val="32"/>
          <w:lang w:val="en-US" w:eastAsia="zh-CN"/>
        </w:rPr>
        <w:t>24</w:t>
      </w:r>
      <w:r>
        <w:rPr>
          <w:rFonts w:ascii="幼圆" w:eastAsia="幼圆" w:cs="幼圆"/>
          <w:sz w:val="32"/>
          <w:szCs w:val="32"/>
        </w:rPr>
        <w:t>-0</w:t>
      </w:r>
      <w:r>
        <w:rPr>
          <w:rFonts w:hint="eastAsia" w:ascii="幼圆" w:eastAsia="幼圆" w:cs="幼圆"/>
          <w:sz w:val="32"/>
          <w:szCs w:val="32"/>
          <w:lang w:val="en-US" w:eastAsia="zh-CN"/>
        </w:rPr>
        <w:t>1</w:t>
      </w:r>
      <w:r>
        <w:rPr>
          <w:rFonts w:ascii="幼圆" w:eastAsia="幼圆" w:cs="幼圆"/>
          <w:sz w:val="32"/>
          <w:szCs w:val="32"/>
        </w:rPr>
        <w:t>-0</w:t>
      </w:r>
      <w:r>
        <w:rPr>
          <w:rFonts w:hint="eastAsia" w:ascii="幼圆" w:eastAsia="幼圆" w:cs="幼圆"/>
          <w:sz w:val="32"/>
          <w:szCs w:val="32"/>
          <w:lang w:val="en-US" w:eastAsia="zh-CN"/>
        </w:rPr>
        <w:t>3</w:t>
      </w:r>
      <w:r>
        <w:rPr>
          <w:rFonts w:hint="eastAsia" w:ascii="幼圆" w:eastAsia="幼圆" w:cs="幼圆"/>
          <w:sz w:val="32"/>
          <w:szCs w:val="32"/>
        </w:rPr>
        <w:t>实施</w:t>
      </w:r>
    </w:p>
    <w:p>
      <w:pPr>
        <w:jc w:val="center"/>
        <w:rPr>
          <w:rFonts w:ascii="宋体" w:hAnsi="宋体"/>
          <w:b/>
          <w:bCs/>
          <w:sz w:val="28"/>
        </w:rPr>
        <w:sectPr>
          <w:headerReference r:id="rId3" w:type="default"/>
          <w:footerReference r:id="rId4" w:type="default"/>
          <w:pgSz w:w="11907" w:h="16840"/>
          <w:pgMar w:top="1247" w:right="1247" w:bottom="1247" w:left="1418" w:header="851" w:footer="1134" w:gutter="0"/>
          <w:cols w:space="720" w:num="1"/>
          <w:docGrid w:type="lines" w:linePitch="312" w:charSpace="0"/>
        </w:sectPr>
      </w:pPr>
      <w:r>
        <w:rPr>
          <w:rFonts w:ascii="幼圆" w:eastAsia="幼圆"/>
          <w:sz w:val="20"/>
        </w:rPr>
        <w:pict>
          <v:line id="直接连接符 3" o:spid="_x0000_s1027" o:spt="20" style="position:absolute;left:0pt;margin-left:-9pt;margin-top:0pt;height:0pt;width:477pt;z-index:251660288;mso-width-relative:page;mso-height-relative:page;" filled="f" stroked="t" coordsize="21600,21600" o:gfxdata="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yDSeN1AAAAAUBAAAPAAAAAAAAAAEAIAAAACIAAABkcnMvZG93bnJldi54bWxQSwECFAAU&#10;AAAACACHTuJAoCHmUfUBAADkAwAADgAAAAAAAAABACAAAAAjAQAAZHJzL2Uyb0RvYy54bWxQSwUG&#10;AAAAAAYABgBZAQAAigUAAAAA&#10;">
            <v:path arrowok="t"/>
            <v:fill on="f" focussize="0,0"/>
            <v:stroke joinstyle="round"/>
            <v:imagedata o:title=""/>
            <o:lock v:ext="edit" aspectratio="f"/>
          </v:line>
        </w:pict>
      </w:r>
      <w:r>
        <w:rPr>
          <w:rFonts w:hint="eastAsia" w:ascii="幼圆" w:eastAsia="幼圆"/>
          <w:sz w:val="32"/>
        </w:rPr>
        <w:t>山东中车</w:t>
      </w:r>
      <w:r>
        <w:rPr>
          <w:rFonts w:hint="eastAsia" w:ascii="幼圆" w:eastAsia="幼圆"/>
          <w:sz w:val="32"/>
          <w:lang w:eastAsia="zh-CN"/>
        </w:rPr>
        <w:t>同力达智能</w:t>
      </w:r>
      <w:r>
        <w:rPr>
          <w:rFonts w:hint="eastAsia" w:ascii="幼圆" w:eastAsia="幼圆"/>
          <w:sz w:val="32"/>
          <w:lang w:val="en-US" w:eastAsia="zh-CN"/>
        </w:rPr>
        <w:t>装备</w:t>
      </w:r>
      <w:r>
        <w:rPr>
          <w:rFonts w:hint="eastAsia" w:ascii="幼圆" w:eastAsia="幼圆"/>
          <w:sz w:val="32"/>
        </w:rPr>
        <w:t>有限公司</w:t>
      </w:r>
    </w:p>
    <w:p>
      <w:pPr>
        <w:pStyle w:val="2"/>
        <w:widowControl w:val="0"/>
        <w:spacing w:before="0" w:beforeAutospacing="0" w:after="0" w:afterAutospacing="0" w:line="580" w:lineRule="exact"/>
        <w:jc w:val="center"/>
        <w:rPr>
          <w:rFonts w:ascii="黑体" w:eastAsia="黑体" w:cs="Times New Roman"/>
          <w:sz w:val="36"/>
          <w:szCs w:val="36"/>
        </w:rPr>
      </w:pPr>
      <w:r>
        <w:rPr>
          <w:rFonts w:hint="eastAsia" w:ascii="黑体" w:eastAsia="黑体" w:cs="黑体"/>
          <w:sz w:val="36"/>
          <w:szCs w:val="36"/>
        </w:rPr>
        <w:t>环境保护管理规定</w:t>
      </w:r>
      <w:bookmarkEnd w:id="0"/>
    </w:p>
    <w:p>
      <w:pPr>
        <w:widowControl/>
        <w:spacing w:line="420" w:lineRule="exact"/>
        <w:jc w:val="right"/>
        <w:rPr>
          <w:rFonts w:hint="default" w:ascii="宋体" w:eastAsia="宋体"/>
          <w:color w:val="000000" w:themeColor="text1"/>
          <w:lang w:val="en-US" w:eastAsia="zh-CN"/>
        </w:rPr>
      </w:pPr>
      <w:r>
        <w:rPr>
          <w:rFonts w:hint="eastAsia"/>
          <w:color w:val="000000" w:themeColor="text1"/>
        </w:rPr>
        <w:t xml:space="preserve"> </w:t>
      </w:r>
      <w:r>
        <w:rPr>
          <w:rFonts w:hint="eastAsia" w:ascii="宋体" w:hAnsi="宋体" w:cs="宋体"/>
          <w:color w:val="000000" w:themeColor="text1"/>
          <w:szCs w:val="21"/>
        </w:rPr>
        <w:t xml:space="preserve">G/TLDG </w:t>
      </w:r>
      <w:r>
        <w:rPr>
          <w:rFonts w:ascii="宋体" w:hAnsi="宋体" w:cs="宋体"/>
          <w:color w:val="000000" w:themeColor="text1"/>
        </w:rPr>
        <w:t xml:space="preserve"> 1</w:t>
      </w:r>
      <w:r>
        <w:rPr>
          <w:rFonts w:hint="eastAsia" w:ascii="宋体" w:hAnsi="宋体" w:cs="宋体"/>
          <w:color w:val="000000" w:themeColor="text1"/>
        </w:rPr>
        <w:t>·</w:t>
      </w:r>
      <w:r>
        <w:rPr>
          <w:rFonts w:hint="eastAsia" w:ascii="宋体" w:hAnsi="宋体" w:cs="宋体"/>
          <w:color w:val="000000" w:themeColor="text1"/>
          <w:lang w:val="en-US" w:eastAsia="zh-CN"/>
        </w:rPr>
        <w:t>GYJS</w:t>
      </w:r>
      <w:bookmarkStart w:id="1" w:name="_GoBack"/>
      <w:bookmarkEnd w:id="1"/>
      <w:r>
        <w:rPr>
          <w:rFonts w:hint="eastAsia" w:ascii="宋体" w:hAnsi="宋体" w:cs="宋体"/>
          <w:color w:val="000000" w:themeColor="text1"/>
          <w:lang w:val="en-US" w:eastAsia="zh-CN"/>
        </w:rPr>
        <w:t>B</w:t>
      </w:r>
      <w:r>
        <w:rPr>
          <w:rFonts w:hint="eastAsia" w:ascii="宋体" w:hAnsi="宋体" w:cs="宋体"/>
          <w:color w:val="000000" w:themeColor="text1"/>
        </w:rPr>
        <w:t>·</w:t>
      </w:r>
      <w:r>
        <w:rPr>
          <w:rFonts w:ascii="宋体" w:hAnsi="宋体" w:cs="宋体"/>
          <w:color w:val="000000" w:themeColor="text1"/>
        </w:rPr>
        <w:t>02</w:t>
      </w:r>
      <w:r>
        <w:rPr>
          <w:rFonts w:hint="eastAsia" w:ascii="宋体" w:hAnsi="宋体" w:cs="宋体"/>
          <w:color w:val="000000" w:themeColor="text1"/>
        </w:rPr>
        <w:t>·</w:t>
      </w:r>
      <w:r>
        <w:rPr>
          <w:rFonts w:ascii="宋体" w:hAnsi="宋体" w:cs="宋体"/>
          <w:color w:val="000000" w:themeColor="text1"/>
        </w:rPr>
        <w:t>1—20</w:t>
      </w:r>
      <w:r>
        <w:rPr>
          <w:rFonts w:hint="eastAsia" w:ascii="宋体" w:hAnsi="宋体" w:cs="宋体"/>
          <w:color w:val="000000" w:themeColor="text1"/>
          <w:lang w:val="en-US" w:eastAsia="zh-CN"/>
        </w:rPr>
        <w:t>24</w:t>
      </w:r>
    </w:p>
    <w:p>
      <w:pPr>
        <w:pStyle w:val="3"/>
        <w:numPr>
          <w:ilvl w:val="0"/>
          <w:numId w:val="1"/>
        </w:numPr>
        <w:spacing w:before="0" w:after="0" w:line="440" w:lineRule="exact"/>
        <w:jc w:val="center"/>
        <w:rPr>
          <w:rFonts w:ascii="宋体" w:cs="Times New Roman"/>
          <w:color w:val="000000" w:themeColor="text1"/>
          <w:sz w:val="21"/>
          <w:szCs w:val="21"/>
        </w:rPr>
      </w:pPr>
      <w:r>
        <w:rPr>
          <w:rFonts w:hint="eastAsia" w:ascii="宋体" w:hAnsi="宋体" w:cs="宋体"/>
          <w:color w:val="000000" w:themeColor="text1"/>
          <w:sz w:val="21"/>
          <w:szCs w:val="21"/>
        </w:rPr>
        <w:t>总则</w:t>
      </w:r>
    </w:p>
    <w:p>
      <w:pPr>
        <w:spacing w:line="440" w:lineRule="exact"/>
        <w:rPr>
          <w:color w:val="000000" w:themeColor="text1"/>
        </w:rPr>
      </w:pP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000000" w:themeColor="text1"/>
        </w:rPr>
      </w:pPr>
      <w:r>
        <w:rPr>
          <w:rFonts w:hint="eastAsia" w:ascii="宋体" w:hAnsi="宋体" w:cs="宋体"/>
          <w:color w:val="000000" w:themeColor="text1"/>
        </w:rPr>
        <w:t>为加强</w:t>
      </w:r>
      <w:r>
        <w:rPr>
          <w:rFonts w:hint="eastAsia" w:ascii="宋体" w:hAnsi="宋体" w:cs="宋体"/>
          <w:color w:val="000000" w:themeColor="text1"/>
          <w:lang w:eastAsia="zh-CN"/>
        </w:rPr>
        <w:t>同力达</w:t>
      </w:r>
      <w:r>
        <w:rPr>
          <w:rFonts w:hint="eastAsia" w:ascii="宋体" w:hAnsi="宋体" w:cs="宋体"/>
          <w:color w:val="000000" w:themeColor="text1"/>
        </w:rPr>
        <w:t>公司环境保护工作，促进</w:t>
      </w:r>
      <w:r>
        <w:rPr>
          <w:rFonts w:hint="eastAsia" w:ascii="宋体" w:hAnsi="宋体" w:cs="宋体"/>
          <w:color w:val="000000" w:themeColor="text1"/>
          <w:lang w:eastAsia="zh-CN"/>
        </w:rPr>
        <w:t>同力达</w:t>
      </w:r>
      <w:r>
        <w:rPr>
          <w:rFonts w:hint="eastAsia" w:ascii="宋体" w:hAnsi="宋体" w:cs="宋体"/>
          <w:color w:val="000000" w:themeColor="text1"/>
        </w:rPr>
        <w:t>公司的可持续发展，依据有关环境保护的法律、法规、《中国中车股份有限公司环境保护管理规定》</w:t>
      </w:r>
      <w:r>
        <w:rPr>
          <w:rFonts w:hint="eastAsia" w:ascii="宋体" w:hAnsi="宋体" w:cs="宋体"/>
          <w:color w:val="000000" w:themeColor="text1"/>
          <w:lang w:eastAsia="zh-CN"/>
        </w:rPr>
        <w:t>、中车山东公司的《环境保护管理规定》</w:t>
      </w:r>
      <w:r>
        <w:rPr>
          <w:rFonts w:hint="eastAsia" w:ascii="宋体" w:hAnsi="宋体" w:cs="宋体"/>
          <w:color w:val="000000" w:themeColor="text1"/>
        </w:rPr>
        <w:t>等</w:t>
      </w:r>
      <w:r>
        <w:rPr>
          <w:rFonts w:hint="eastAsia" w:ascii="宋体" w:hAnsi="宋体" w:cs="宋体"/>
          <w:color w:val="000000" w:themeColor="text1"/>
          <w:lang w:eastAsia="zh-CN"/>
        </w:rPr>
        <w:t>以及同力达</w:t>
      </w:r>
      <w:r>
        <w:rPr>
          <w:rFonts w:hint="eastAsia" w:ascii="宋体" w:hAnsi="宋体" w:cs="宋体"/>
          <w:color w:val="000000" w:themeColor="text1"/>
        </w:rPr>
        <w:t>公司环境管理体系文件，结合</w:t>
      </w:r>
      <w:r>
        <w:rPr>
          <w:rFonts w:hint="eastAsia" w:ascii="宋体" w:hAnsi="宋体" w:cs="宋体"/>
          <w:color w:val="000000" w:themeColor="text1"/>
          <w:lang w:eastAsia="zh-CN"/>
        </w:rPr>
        <w:t>同力达</w:t>
      </w:r>
      <w:r>
        <w:rPr>
          <w:rFonts w:hint="eastAsia" w:ascii="宋体" w:hAnsi="宋体" w:cs="宋体"/>
          <w:color w:val="000000" w:themeColor="text1"/>
        </w:rPr>
        <w:t>公司实际，制订本规定。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必须遵守国家、地方的有关环境保护的方针、政策、法律法规和标准，贯彻“保护优先、预防为主、综合治理、公众参与、损害担责”的原则和“谁使用、谁控制，谁污染、谁治理，谁开发、谁保护”的原则，严格执行公司</w:t>
      </w:r>
      <w:r>
        <w:rPr>
          <w:rFonts w:ascii="宋体" w:hAnsi="宋体" w:cs="宋体"/>
        </w:rPr>
        <w:t>ISO14001</w:t>
      </w:r>
      <w:r>
        <w:rPr>
          <w:rFonts w:hint="eastAsia" w:ascii="宋体" w:hAnsi="宋体" w:cs="宋体"/>
        </w:rPr>
        <w:t>环境管理体系文件。大力开展环境保护、污染防治、节能减排、清洁生产等工作。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本规定适用于</w:t>
      </w:r>
      <w:r>
        <w:rPr>
          <w:rFonts w:hint="eastAsia" w:ascii="宋体" w:hAnsi="宋体" w:cs="宋体"/>
          <w:lang w:eastAsia="zh-CN"/>
        </w:rPr>
        <w:t>同力达</w:t>
      </w:r>
      <w:r>
        <w:rPr>
          <w:rFonts w:hint="eastAsia" w:ascii="宋体" w:hAnsi="宋体" w:cs="宋体"/>
        </w:rPr>
        <w:t>公司环境保护管理。公司各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和个人都有保护和改善环境的责任和义务，并有权对破坏和污染环境的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和个人进行监督、检举和控告。</w:t>
      </w:r>
    </w:p>
    <w:p>
      <w:pPr>
        <w:widowControl/>
        <w:spacing w:line="440" w:lineRule="exact"/>
        <w:jc w:val="left"/>
        <w:rPr>
          <w:rFonts w:ascii="宋体"/>
        </w:rPr>
      </w:pPr>
    </w:p>
    <w:p>
      <w:pPr>
        <w:pStyle w:val="3"/>
        <w:numPr>
          <w:ilvl w:val="0"/>
          <w:numId w:val="1"/>
        </w:numPr>
        <w:spacing w:before="0" w:after="0" w:line="440" w:lineRule="exact"/>
        <w:jc w:val="center"/>
        <w:rPr>
          <w:rFonts w:ascii="宋体" w:cs="Times New Roman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管理职责</w:t>
      </w:r>
    </w:p>
    <w:p>
      <w:pPr>
        <w:spacing w:line="440" w:lineRule="exact"/>
      </w:pP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  <w:lang w:val="en-US" w:eastAsia="zh-CN"/>
        </w:rPr>
        <w:t>生产安全</w:t>
      </w:r>
      <w:r>
        <w:rPr>
          <w:rFonts w:hint="eastAsia" w:ascii="宋体" w:hAnsi="宋体" w:cs="宋体"/>
          <w:color w:val="auto"/>
          <w:lang w:eastAsia="zh-CN"/>
        </w:rPr>
        <w:t>部</w:t>
      </w:r>
      <w:r>
        <w:rPr>
          <w:rFonts w:hint="eastAsia" w:ascii="宋体" w:hAnsi="宋体" w:cs="宋体"/>
          <w:color w:val="auto"/>
        </w:rPr>
        <w:t>是环境保护工作的归口管理部门，对总经理负责，负责环境保护的管理、监督检查和技术业务。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公司最高管理者依法履行环境保护职责，对公司产生的环境影响负责，对环境保护工作负总责。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</w:rPr>
        <w:t>公司分管环境保护副总经理具体负责环境保护的领导工作，并对环境保护工作负分管领导责任。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  <w:lang w:eastAsia="zh-CN"/>
        </w:rPr>
        <w:t>设备技术员为</w:t>
      </w:r>
      <w:r>
        <w:rPr>
          <w:rFonts w:hint="eastAsia" w:ascii="宋体" w:hAnsi="宋体" w:cs="宋体"/>
          <w:color w:val="auto"/>
        </w:rPr>
        <w:t>兼职环保人员。</w:t>
      </w:r>
    </w:p>
    <w:p>
      <w:pPr>
        <w:pStyle w:val="3"/>
        <w:numPr>
          <w:ilvl w:val="0"/>
          <w:numId w:val="1"/>
        </w:numPr>
        <w:spacing w:before="0" w:after="0" w:line="440" w:lineRule="exact"/>
        <w:jc w:val="center"/>
        <w:rPr>
          <w:rFonts w:ascii="宋体" w:cs="Times New Roman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污染防治</w:t>
      </w:r>
    </w:p>
    <w:p/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废水、废气、噪声、固体废弃物等各种污染物的产生与排放，实行源头和过程控制，从源头减少产生量和排放量，污染物排放应符合国家或地方规定的排放标准，主要污染物的排放应同时满足总量控制要求。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对污染物排放量大、污染物超过国家、地方标准和总量控制指标的生产工艺和设施，需进行技术改造与更新，实施污染再提高治理，以满足国家、地方污染物排放标准和总量控制指标要求。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产品研发、设计、制造、技术改造过程中，应充分关注产品全生命周期过程中的环境影响，采用技术先进、资源利用率高、污染物排放量少、经济合理的清洁生产设备和工艺，合理利用资源、能源，有效控制环境污染。严禁新上、转移、生产和采用国家明令淘汰的能耗高、污染重的落后产业、生产工艺装置和产品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凡是产生污染物的设施设备，应当采取措施，防治在生产、建设或者其他活动中产生的废气、废水、粉尘、放射性物质以及噪声、等对环境的污染和危害。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严禁通过暗管、渗井、渗坑、灌注或者篡改、伪造监测数据，或者不正常运行防治污染设施等逃避监管的方式违法排放污染物。</w:t>
      </w:r>
    </w:p>
    <w:p>
      <w:pPr>
        <w:pStyle w:val="3"/>
        <w:spacing w:before="0" w:after="0" w:line="440" w:lineRule="exact"/>
        <w:rPr>
          <w:rFonts w:ascii="宋体" w:cs="Times New Roman"/>
          <w:sz w:val="21"/>
          <w:szCs w:val="21"/>
        </w:rPr>
      </w:pPr>
    </w:p>
    <w:p>
      <w:pPr>
        <w:pStyle w:val="3"/>
        <w:numPr>
          <w:ilvl w:val="0"/>
          <w:numId w:val="1"/>
        </w:numPr>
        <w:spacing w:before="0" w:after="0" w:line="440" w:lineRule="exact"/>
        <w:jc w:val="center"/>
        <w:rPr>
          <w:rFonts w:ascii="宋体" w:cs="Times New Roman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大气污染和扬尘管理</w:t>
      </w:r>
    </w:p>
    <w:p>
      <w:pPr>
        <w:spacing w:line="440" w:lineRule="exact"/>
      </w:pP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大气污染指各种窑炉、机动车辆、生产设施、试验装置以及焚烧废弃物等排放的废气和含烟尘、粉尘及恶臭气体所造成的污染。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公司内现有生产设施向大气排放污染物的设备、设施必须采取有效措施，防止、减少大气污染，设置符合规定的排气筒、采样口、检测平台、爬梯等，禁止采用天窗、地沟、空气稀释等非正当方式排放。　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各环境保护设施使用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应指定专人负责操作管理，严格按照有关操作规程进行，并负责设备的日常维护与保养。环境保护设施产生的粉尘等应密封存放，并定期处理，以免引起二次扬尘。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生产过程中使用的含挥发性有机物的原材料和产品，其挥发性有机物含量应当符合质量以及相关标准或者要求。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禁止在公司内焚烧沥青、油毡、橡胶、塑料、皮革、垃圾以及其他产生有毒有害气体、烟尘和恶臭气体的物质。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禁止在人口集中区域对树木、花草喷洒剧毒、高毒农药。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机动车应严格执行国家或地方规定的排放标准。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露天堆场等贮存易产生扬尘的物料采取密闭、围挡、遮盖、清扫、洒水等措施防治扬尘污染。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施工作业时，施工单位必须在施工工地设置硬质围挡，采取覆盖、分段作业、择时施工、洒水抑尘、冲洗地面和车辆等有效防尘降尘措施。建筑土方、工程渣土、建筑垃圾应当及时清运；在场地内堆存的，应当采用密闭式防尘网遮盖，严禁敞开式作业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施工单位在施工工地公示扬尘污染防治措施、负责人、扬尘监督管理主管部门等信息。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运输垃圾、渣土、砂石、土方、灰浆等散装、流体物料的车辆应当采取密闭或者其他措施防止造成扬尘污染，并按照规定路线行驶，在运输过程中不得遗撒、泄漏物料。</w:t>
      </w:r>
    </w:p>
    <w:p>
      <w:pPr>
        <w:widowControl/>
        <w:spacing w:line="440" w:lineRule="exact"/>
        <w:jc w:val="left"/>
        <w:rPr>
          <w:rFonts w:ascii="宋体"/>
          <w:kern w:val="0"/>
        </w:rPr>
      </w:pPr>
      <w:r>
        <w:rPr>
          <w:rFonts w:hint="eastAsia" w:ascii="宋体" w:hAnsi="宋体" w:cs="宋体"/>
        </w:rPr>
        <w:t>　</w:t>
      </w:r>
      <w:r>
        <w:rPr>
          <w:rFonts w:hint="eastAsia" w:ascii="宋体" w:hAnsi="宋体" w:cs="宋体"/>
          <w:kern w:val="0"/>
        </w:rPr>
        <w:t>　　　　　</w:t>
      </w:r>
    </w:p>
    <w:p>
      <w:pPr>
        <w:pStyle w:val="3"/>
        <w:numPr>
          <w:ilvl w:val="0"/>
          <w:numId w:val="1"/>
        </w:numPr>
        <w:spacing w:before="0" w:after="0" w:line="440" w:lineRule="exact"/>
        <w:jc w:val="center"/>
        <w:rPr>
          <w:rFonts w:ascii="宋体" w:cs="Times New Roman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水污染管理</w:t>
      </w:r>
    </w:p>
    <w:p>
      <w:pPr>
        <w:spacing w:line="440" w:lineRule="exact"/>
      </w:pP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水污染指生产或生活中排放的各种含有石油类、重金属、酸、碱、有机物等所造成的污染。　　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禁止向下水道倾倒油类、切削液、酸液、碱液、剧毒物、工业废渣、垃圾和其他废弃物。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存放、使用危险化学品、危险废物的场所，应当采取防水、防渗漏、防流失的措施。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各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产生的生产、生活污水必须经</w:t>
      </w:r>
      <w:r>
        <w:rPr>
          <w:rFonts w:hint="eastAsia" w:ascii="宋体" w:hAnsi="宋体" w:cs="宋体"/>
          <w:lang w:eastAsia="zh-CN"/>
        </w:rPr>
        <w:t>总公司</w:t>
      </w:r>
      <w:r>
        <w:rPr>
          <w:rFonts w:hint="eastAsia" w:ascii="宋体" w:hAnsi="宋体" w:cs="宋体"/>
        </w:rPr>
        <w:t>污水处理站处理，达到相关要求后方可排放，严禁擅自外排。</w:t>
      </w:r>
    </w:p>
    <w:p>
      <w:pPr>
        <w:widowControl/>
        <w:spacing w:line="440" w:lineRule="exact"/>
        <w:jc w:val="left"/>
        <w:rPr>
          <w:rFonts w:ascii="宋体"/>
          <w:color w:val="FF0000"/>
        </w:rPr>
      </w:pPr>
    </w:p>
    <w:p>
      <w:pPr>
        <w:widowControl/>
        <w:numPr>
          <w:ilvl w:val="0"/>
          <w:numId w:val="1"/>
        </w:numPr>
        <w:spacing w:line="440" w:lineRule="exact"/>
        <w:jc w:val="center"/>
        <w:outlineLvl w:val="1"/>
        <w:rPr>
          <w:rFonts w:ascii="宋体"/>
          <w:b/>
          <w:bCs/>
        </w:rPr>
      </w:pPr>
      <w:r>
        <w:rPr>
          <w:rFonts w:hint="eastAsia" w:ascii="宋体" w:hAnsi="宋体" w:cs="宋体"/>
          <w:b/>
          <w:bCs/>
        </w:rPr>
        <w:t>环境噪声污染管理</w:t>
      </w:r>
    </w:p>
    <w:p>
      <w:pPr>
        <w:widowControl/>
        <w:spacing w:line="440" w:lineRule="exact"/>
        <w:jc w:val="center"/>
        <w:outlineLvl w:val="1"/>
        <w:rPr>
          <w:rFonts w:ascii="宋体"/>
          <w:b/>
          <w:bCs/>
        </w:rPr>
      </w:pP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环境噪声，是指在工业生产、建筑施工、交通运输和社会生活中所产生的干扰周围生活环境的声音。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生产作业时向周围环境排放噪声的，应当符合工业企业厂界环境噪声排放标准。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进行建筑施工作业的，应当采取环境噪声污染防治措施，并不得超过建筑施工场界噪声限值；超过噪声限值并严重污染环境的，项目主管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应当限制其作业时间或者责令其停工治理。</w:t>
      </w:r>
      <w:r>
        <w:rPr>
          <w:rFonts w:hint="eastAsia" w:ascii="宋体" w:hAnsi="宋体" w:cs="宋体"/>
          <w:lang w:eastAsia="zh-CN"/>
        </w:rPr>
        <w:t>生产安全部</w:t>
      </w:r>
      <w:r>
        <w:rPr>
          <w:rFonts w:hint="eastAsia" w:ascii="宋体" w:hAnsi="宋体" w:cs="宋体"/>
        </w:rPr>
        <w:t>对其进行监督检查。工程抢修、抢险除外。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新设备购置时，应当采购符合声环境保护要求和有关规定噪声限值的设备。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对产生噪声污染的生产设施，使用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应采取有效的降噪措施。各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应对设备（尤其是噪声治理设施）进行日常维护与保养，使其正常运行，以降低噪声排放，降低或减少对公司区域内的影响。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在公司内进行新、改、扩建和技术改造项目中，施工单位应在工程开工前办理有关手续。施工过程中，应在每天的休息时间停止作业，如因特殊情况需要连续作业，须经环境保护主管部门同意。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若生产活动确需排放偶发性强烈噪声的，必须事先向当地公安机关提出申请，经批准后方可进行。</w:t>
      </w:r>
    </w:p>
    <w:p>
      <w:pPr>
        <w:widowControl/>
        <w:spacing w:line="440" w:lineRule="exact"/>
        <w:jc w:val="left"/>
        <w:rPr>
          <w:rFonts w:ascii="宋体"/>
        </w:rPr>
      </w:pPr>
    </w:p>
    <w:p>
      <w:pPr>
        <w:numPr>
          <w:ilvl w:val="0"/>
          <w:numId w:val="1"/>
        </w:numPr>
        <w:spacing w:line="440" w:lineRule="exact"/>
        <w:jc w:val="center"/>
        <w:rPr>
          <w:rFonts w:ascii="宋体"/>
          <w:b/>
          <w:bCs/>
        </w:rPr>
      </w:pPr>
      <w:r>
        <w:rPr>
          <w:rFonts w:hint="eastAsia" w:ascii="宋体" w:hAnsi="宋体" w:cs="宋体"/>
          <w:b/>
          <w:bCs/>
        </w:rPr>
        <w:t>固体废物管理</w:t>
      </w:r>
    </w:p>
    <w:p>
      <w:pPr>
        <w:spacing w:line="440" w:lineRule="exact"/>
        <w:rPr>
          <w:rFonts w:ascii="宋体"/>
          <w:b/>
          <w:bCs/>
        </w:rPr>
      </w:pP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固体废弃物指在公司生产、经营活动中所产生的工业、生活废弃物，主要指：废金属、废办公用品、废包装物、建筑垃圾、以及其他工业垃圾。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危险废弃物指国家危险废物名录中所列的固体废物，公司生产、经营活动中所产生的危险废弃物主要有废油、废油桶、等。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固体废物环境污染的防治，实行减量化、资源化、无害化，实施分类管理、综合利用、依法安全转移与处置，不得擅自倾倒、堆放、丢弃、遗撒固体废物。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收集、贮存、运输固体废物的设施、设备和场所，应当加强管理和维护，保证其正常运行和使用。贮存场所，必须符合国家环境保护标准，采取防扬散、防流失、防渗漏或者其他防止污染环境的措施。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生活垃圾、一般工业垃圾应当按照环境卫生主管部门</w:t>
      </w:r>
      <w:r>
        <w:rPr>
          <w:rFonts w:hint="eastAsia" w:ascii="宋体" w:hAnsi="宋体" w:cs="宋体"/>
          <w:color w:val="auto"/>
          <w:lang w:eastAsia="zh-CN"/>
        </w:rPr>
        <w:t>及上级公司</w:t>
      </w:r>
      <w:r>
        <w:rPr>
          <w:rFonts w:hint="eastAsia" w:ascii="宋体" w:hAnsi="宋体" w:cs="宋体"/>
          <w:color w:val="auto"/>
        </w:rPr>
        <w:t>的规定处置，不得随意倾倒、抛撒或者堆放。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严格危险废物管理和责任制度。危险废物在存放期内，各</w:t>
      </w:r>
      <w:r>
        <w:rPr>
          <w:rFonts w:hint="eastAsia" w:ascii="宋体" w:hAnsi="宋体" w:cs="宋体"/>
          <w:color w:val="auto"/>
          <w:lang w:eastAsia="zh-CN"/>
        </w:rPr>
        <w:t>部门</w:t>
      </w:r>
      <w:r>
        <w:rPr>
          <w:rFonts w:hint="eastAsia" w:ascii="宋体" w:hAnsi="宋体" w:cs="宋体"/>
          <w:color w:val="auto"/>
        </w:rPr>
        <w:t>应按职责建立危险废物台账，进行出入库登记、分类存放、巡查和管理。各</w:t>
      </w:r>
      <w:r>
        <w:rPr>
          <w:rFonts w:hint="eastAsia" w:ascii="宋体" w:hAnsi="宋体" w:cs="宋体"/>
          <w:color w:val="auto"/>
          <w:lang w:eastAsia="zh-CN"/>
        </w:rPr>
        <w:t>部门</w:t>
      </w:r>
      <w:r>
        <w:rPr>
          <w:rFonts w:hint="eastAsia" w:ascii="宋体" w:hAnsi="宋体" w:cs="宋体"/>
          <w:color w:val="auto"/>
        </w:rPr>
        <w:t>不得擅自倾倒、堆放危险废物。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危险废物的容器和包装物以及收集、贮存、运输危险废物的设施、场所，必须设置危险废物标志，必须按照危险废物特性分类进行，禁止混合收集、贮存、运输性质不相容而未经安全性处置的危险废物。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hint="eastAsia"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危险废物</w:t>
      </w:r>
      <w:r>
        <w:rPr>
          <w:rFonts w:hint="eastAsia" w:ascii="宋体" w:hAnsi="宋体" w:cs="宋体"/>
          <w:color w:val="auto"/>
          <w:lang w:eastAsia="zh-CN"/>
        </w:rPr>
        <w:t>由供应部负责向</w:t>
      </w:r>
      <w:r>
        <w:rPr>
          <w:rFonts w:hint="eastAsia" w:ascii="宋体" w:hAnsi="宋体" w:cs="宋体"/>
          <w:color w:val="auto"/>
        </w:rPr>
        <w:t>具有资质的危险废弃物处置单位</w:t>
      </w:r>
      <w:r>
        <w:rPr>
          <w:rFonts w:hint="eastAsia" w:ascii="宋体" w:hAnsi="宋体" w:cs="宋体"/>
          <w:color w:val="auto"/>
          <w:lang w:eastAsia="zh-CN"/>
        </w:rPr>
        <w:t>进行对接、运输，由</w:t>
      </w:r>
      <w:r>
        <w:rPr>
          <w:rFonts w:hint="eastAsia" w:ascii="宋体" w:hAnsi="宋体" w:cs="宋体"/>
          <w:color w:val="auto"/>
        </w:rPr>
        <w:t>具有资质的危险废弃物处置单位</w:t>
      </w:r>
      <w:r>
        <w:rPr>
          <w:rFonts w:hint="eastAsia" w:ascii="宋体" w:hAnsi="宋体" w:cs="宋体"/>
          <w:color w:val="auto"/>
          <w:lang w:eastAsia="zh-CN"/>
        </w:rPr>
        <w:t>予以处理</w:t>
      </w:r>
      <w:r>
        <w:rPr>
          <w:rFonts w:hint="eastAsia" w:ascii="宋体" w:hAnsi="宋体" w:cs="宋体"/>
          <w:color w:val="auto"/>
        </w:rPr>
        <w:t>。</w:t>
      </w:r>
    </w:p>
    <w:p>
      <w:pPr>
        <w:widowControl/>
        <w:numPr>
          <w:ilvl w:val="0"/>
          <w:numId w:val="2"/>
        </w:numPr>
        <w:tabs>
          <w:tab w:val="left" w:pos="1440"/>
          <w:tab w:val="clear" w:pos="1021"/>
        </w:tabs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危险废物的转移，必须按照国家有关规定填写危险废物转移联单。未经环境保护主管部门批准的，不得转移。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贮存危险废物必须采取符合国家标准的防护措施，并不得超过一年；确需延长期限的，必须报环境保护主管部门批准；法律、行政法规另有规定的除外。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禁止将危险废物混入非危险废物中贮存。</w:t>
      </w:r>
    </w:p>
    <w:p>
      <w:pPr>
        <w:widowControl/>
        <w:spacing w:line="440" w:lineRule="exact"/>
        <w:jc w:val="left"/>
        <w:rPr>
          <w:rFonts w:ascii="宋体"/>
          <w:b/>
          <w:bCs/>
          <w:color w:val="auto"/>
        </w:rPr>
      </w:pPr>
    </w:p>
    <w:p>
      <w:pPr>
        <w:widowControl/>
        <w:numPr>
          <w:ilvl w:val="0"/>
          <w:numId w:val="1"/>
        </w:numPr>
        <w:spacing w:line="440" w:lineRule="exact"/>
        <w:jc w:val="center"/>
        <w:rPr>
          <w:rFonts w:ascii="宋体"/>
          <w:b/>
          <w:bCs/>
        </w:rPr>
      </w:pPr>
      <w:r>
        <w:rPr>
          <w:rFonts w:hint="eastAsia" w:ascii="宋体" w:hAnsi="宋体" w:cs="宋体"/>
          <w:b/>
          <w:bCs/>
        </w:rPr>
        <w:t>建设项目环保管理</w:t>
      </w:r>
    </w:p>
    <w:p>
      <w:pPr>
        <w:widowControl/>
        <w:spacing w:line="440" w:lineRule="exact"/>
        <w:rPr>
          <w:rFonts w:ascii="宋体"/>
          <w:b/>
          <w:bCs/>
        </w:rPr>
      </w:pPr>
    </w:p>
    <w:p>
      <w:pPr>
        <w:widowControl/>
        <w:numPr>
          <w:ilvl w:val="0"/>
          <w:numId w:val="2"/>
        </w:numPr>
        <w:tabs>
          <w:tab w:val="left" w:pos="1440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公司各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凡是可能对环境造成污染和破坏的各种新建、改建、扩建和技术改造等工程建设项目，必须遵守国家有关建设项目环境保护管理的规定，符合国家产业政策和节能环保标准，执行环境影响评价制度；执行环境保护设施必须与主体工程同时设计、同时施工、同时投产使用的“三同时”制度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需进行环境影响评价的建设项目立项后，由项目立项</w:t>
      </w:r>
      <w:r>
        <w:rPr>
          <w:rFonts w:hint="eastAsia" w:ascii="宋体" w:hAnsi="宋体" w:cs="宋体"/>
          <w:color w:val="auto"/>
          <w:lang w:eastAsia="zh-CN"/>
        </w:rPr>
        <w:t>部门</w:t>
      </w:r>
      <w:r>
        <w:rPr>
          <w:rFonts w:hint="eastAsia" w:ascii="宋体" w:hAnsi="宋体" w:cs="宋体"/>
          <w:color w:val="auto"/>
        </w:rPr>
        <w:t>通知</w:t>
      </w:r>
      <w:r>
        <w:rPr>
          <w:rFonts w:hint="eastAsia" w:ascii="宋体" w:hAnsi="宋体" w:cs="宋体"/>
          <w:color w:val="auto"/>
          <w:lang w:eastAsia="zh-CN"/>
        </w:rPr>
        <w:t>工艺技术部</w:t>
      </w:r>
      <w:r>
        <w:rPr>
          <w:rFonts w:hint="eastAsia" w:ascii="宋体" w:hAnsi="宋体" w:cs="宋体"/>
          <w:color w:val="auto"/>
        </w:rPr>
        <w:t>，并提供相关资料，由</w:t>
      </w:r>
      <w:r>
        <w:rPr>
          <w:rFonts w:hint="eastAsia" w:ascii="宋体" w:hAnsi="宋体" w:cs="宋体"/>
          <w:color w:val="auto"/>
          <w:lang w:eastAsia="zh-CN"/>
        </w:rPr>
        <w:t>工艺技术部</w:t>
      </w:r>
      <w:r>
        <w:rPr>
          <w:rFonts w:hint="eastAsia" w:ascii="宋体" w:hAnsi="宋体" w:cs="宋体"/>
          <w:color w:val="auto"/>
        </w:rPr>
        <w:t>负责办理环保审批手续。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建设项目实施过程中可能造成的废水、废气、噪声、废弃物排放的，项目主管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应按照相关文件进行管理。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建设项目在调试期间，其污染物的排放必须达到国家或地方规定的标准，符合环境保护的有关规定。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建设项目竣工后严格检查“三同时”执行情况，确保环境污染治理设施和项目主体工程同时完工。项目责任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组织对环境保护设施检查验收，以确保环境保护内容得到正确实施。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</w:rPr>
        <w:t>建设项目竣工后，项目责任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如实查验、监测、记载建设项目环境保护设施的</w:t>
      </w:r>
      <w:r>
        <w:rPr>
          <w:rFonts w:hint="eastAsia" w:ascii="宋体" w:hAnsi="宋体" w:cs="宋体"/>
          <w:color w:val="auto"/>
        </w:rPr>
        <w:t>建设和调试情况，组织验收以及编制验收监测（调查）报告。如不具备编制验收监测（调查）报告能力的，可以委托有能力的技术机构编制。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建设项目配套建设的环境保护设施经验收合格后，其主体工程方可投入生产或者使用；未经验收或者验收不合格的，不得投入生产或者使用。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  <w:color w:val="auto"/>
        </w:rPr>
        <w:t>建设</w:t>
      </w:r>
      <w:r>
        <w:rPr>
          <w:rFonts w:hint="eastAsia" w:ascii="宋体" w:hAnsi="宋体" w:cs="宋体"/>
        </w:rPr>
        <w:t>项目环境影响评价报告、验收监测（调查）以及其他相关信息，除涉及国家秘密和商业秘密的事项外，应当公开公示，并向环境保护主管部门报送相关信息，并接受监督检查。</w:t>
      </w:r>
    </w:p>
    <w:p>
      <w:pPr>
        <w:widowControl/>
        <w:spacing w:line="440" w:lineRule="exact"/>
        <w:jc w:val="left"/>
        <w:rPr>
          <w:rFonts w:ascii="宋体"/>
          <w:color w:val="FF0000"/>
        </w:rPr>
      </w:pPr>
    </w:p>
    <w:p>
      <w:pPr>
        <w:widowControl/>
        <w:numPr>
          <w:ilvl w:val="0"/>
          <w:numId w:val="1"/>
        </w:numPr>
        <w:spacing w:line="440" w:lineRule="exact"/>
        <w:jc w:val="center"/>
        <w:outlineLvl w:val="1"/>
        <w:rPr>
          <w:rFonts w:ascii="宋体"/>
          <w:b/>
          <w:bCs/>
        </w:rPr>
      </w:pPr>
      <w:r>
        <w:rPr>
          <w:rFonts w:hint="eastAsia" w:ascii="宋体" w:hAnsi="宋体" w:cs="宋体"/>
          <w:b/>
          <w:bCs/>
        </w:rPr>
        <w:t>环境保护设施（设备）管理</w:t>
      </w:r>
    </w:p>
    <w:p>
      <w:pPr>
        <w:widowControl/>
        <w:spacing w:line="440" w:lineRule="exact"/>
        <w:outlineLvl w:val="1"/>
        <w:rPr>
          <w:rFonts w:ascii="宋体"/>
          <w:b/>
          <w:bCs/>
        </w:rPr>
      </w:pP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环境保护设施（设备）是指防治环境污染和生态破坏以及开展环境监测所需的装置、设备和工程设施等。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环境保护设施（设备）应当符合经批准的环境影响评价文件的要求。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环境保护设施（设备）纳入公司固定资产管理。各责任部门按职责分工对环境保护设施（设备）状态进行日常检查、管理，保持其完好率和运行率</w:t>
      </w:r>
      <w:r>
        <w:rPr>
          <w:rFonts w:hint="eastAsia" w:ascii="宋体" w:hAnsi="宋体" w:cs="宋体"/>
          <w:color w:val="auto"/>
        </w:rPr>
        <w:t>，</w:t>
      </w:r>
      <w:r>
        <w:rPr>
          <w:rFonts w:hint="eastAsia" w:ascii="宋体" w:hAnsi="宋体" w:cs="宋体"/>
          <w:color w:val="auto"/>
          <w:lang w:val="en-US" w:eastAsia="zh-CN"/>
        </w:rPr>
        <w:t>生产安全</w:t>
      </w:r>
      <w:r>
        <w:rPr>
          <w:rFonts w:hint="eastAsia" w:ascii="宋体" w:hAnsi="宋体" w:cs="宋体"/>
          <w:color w:val="auto"/>
          <w:lang w:eastAsia="zh-CN"/>
        </w:rPr>
        <w:t>部</w:t>
      </w:r>
      <w:r>
        <w:rPr>
          <w:rFonts w:hint="eastAsia" w:ascii="宋体" w:hAnsi="宋体" w:cs="宋体"/>
          <w:color w:val="auto"/>
        </w:rPr>
        <w:t>对</w:t>
      </w:r>
      <w:r>
        <w:rPr>
          <w:rFonts w:hint="eastAsia" w:ascii="宋体" w:hAnsi="宋体" w:cs="宋体"/>
        </w:rPr>
        <w:t>运行情况进行监督检查。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环境保护设施（设备）必须和生产同步运行，出现故障需停机检修或设备需要大修时，必须向</w:t>
      </w:r>
      <w:r>
        <w:rPr>
          <w:rFonts w:hint="eastAsia" w:ascii="宋体" w:hAnsi="宋体" w:cs="宋体"/>
          <w:lang w:eastAsia="zh-CN"/>
        </w:rPr>
        <w:t>工艺</w:t>
      </w:r>
      <w:r>
        <w:rPr>
          <w:rFonts w:hint="eastAsia" w:ascii="宋体" w:hAnsi="宋体" w:cs="宋体"/>
          <w:lang w:val="en-US" w:eastAsia="zh-CN"/>
        </w:rPr>
        <w:t>质量</w:t>
      </w:r>
      <w:r>
        <w:rPr>
          <w:rFonts w:hint="eastAsia" w:ascii="宋体" w:hAnsi="宋体" w:cs="宋体"/>
          <w:lang w:eastAsia="zh-CN"/>
        </w:rPr>
        <w:t>部</w:t>
      </w:r>
      <w:r>
        <w:rPr>
          <w:rFonts w:hint="eastAsia" w:ascii="宋体" w:hAnsi="宋体" w:cs="宋体"/>
        </w:rPr>
        <w:t>报告，经同意后方可进行。在环境保护设施大修完成后，必须经监测合格方可投入运行。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环境保护设施（设备）不得擅自拆除或无故停用、闲置，确需停用、封存或拆除的，</w:t>
      </w:r>
      <w:r>
        <w:rPr>
          <w:rFonts w:hint="eastAsia" w:ascii="宋体" w:hAnsi="宋体" w:cs="宋体"/>
          <w:lang w:val="en-US" w:eastAsia="zh-CN"/>
        </w:rPr>
        <w:t>工艺质量</w:t>
      </w:r>
      <w:r>
        <w:rPr>
          <w:rFonts w:hint="eastAsia" w:ascii="宋体" w:hAnsi="宋体" w:cs="宋体"/>
          <w:lang w:eastAsia="zh-CN"/>
        </w:rPr>
        <w:t>部提报公司领导批准</w:t>
      </w:r>
      <w:r>
        <w:rPr>
          <w:rFonts w:hint="eastAsia" w:ascii="宋体" w:hAnsi="宋体" w:cs="宋体"/>
        </w:rPr>
        <w:t>，并报环境保护主管部门审批后方可实施。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环境保护设施（设备）使用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要健全使用和维修保养制度、操作规程，日常加强管理，及时维护保养，配备专（兼）职人员操作，确保环境保护设施（设备）正常运转。</w:t>
      </w:r>
    </w:p>
    <w:p>
      <w:pPr>
        <w:widowControl/>
        <w:numPr>
          <w:ilvl w:val="0"/>
          <w:numId w:val="2"/>
        </w:numPr>
        <w:tabs>
          <w:tab w:val="left" w:pos="1440"/>
        </w:tabs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对现有的环境保护设施（设备），使用</w:t>
      </w:r>
      <w:r>
        <w:rPr>
          <w:rFonts w:hint="eastAsia" w:ascii="宋体" w:hAnsi="宋体" w:cs="宋体"/>
          <w:lang w:eastAsia="zh-CN"/>
        </w:rPr>
        <w:t>部门</w:t>
      </w:r>
      <w:r>
        <w:rPr>
          <w:rFonts w:hint="eastAsia" w:ascii="宋体" w:hAnsi="宋体" w:cs="宋体"/>
        </w:rPr>
        <w:t>应建立完整的档案、运转记录和检修记录。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用于治理污染的药剂等，</w:t>
      </w:r>
      <w:r>
        <w:rPr>
          <w:rFonts w:hint="eastAsia" w:ascii="宋体" w:hAnsi="宋体" w:cs="宋体"/>
          <w:lang w:val="en-US" w:eastAsia="zh-CN"/>
        </w:rPr>
        <w:t>采购</w:t>
      </w:r>
      <w:r>
        <w:rPr>
          <w:rFonts w:hint="eastAsia" w:ascii="宋体" w:hAnsi="宋体" w:cs="宋体"/>
          <w:lang w:eastAsia="zh-CN"/>
        </w:rPr>
        <w:t>部</w:t>
      </w:r>
      <w:r>
        <w:rPr>
          <w:rFonts w:hint="eastAsia" w:ascii="宋体" w:hAnsi="宋体" w:cs="宋体"/>
        </w:rPr>
        <w:t>必须按设计要求购买，不得擅自更换，以确保治理效果。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</w:rPr>
        <w:t>污染防治设施（设备）的维修按公司设备管理制度进行。设备管理部门对设备修理实施情况进行监督检查。设备保养和修理过程中，要避免各种废弃物对环境的污染，</w:t>
      </w:r>
      <w:r>
        <w:rPr>
          <w:rFonts w:hint="eastAsia" w:ascii="宋体" w:hAnsi="宋体" w:cs="宋体"/>
          <w:lang w:eastAsia="zh-CN"/>
        </w:rPr>
        <w:t>工艺</w:t>
      </w:r>
      <w:r>
        <w:rPr>
          <w:rFonts w:hint="eastAsia" w:ascii="宋体" w:hAnsi="宋体" w:cs="宋体"/>
          <w:lang w:val="en-US" w:eastAsia="zh-CN"/>
        </w:rPr>
        <w:t>质量</w:t>
      </w:r>
      <w:r>
        <w:rPr>
          <w:rFonts w:hint="eastAsia" w:ascii="宋体" w:hAnsi="宋体" w:cs="宋体"/>
          <w:lang w:eastAsia="zh-CN"/>
        </w:rPr>
        <w:t>部</w:t>
      </w:r>
      <w:r>
        <w:rPr>
          <w:rFonts w:hint="eastAsia" w:ascii="宋体" w:hAnsi="宋体" w:cs="宋体"/>
        </w:rPr>
        <w:t>进行监督检查。</w:t>
      </w:r>
    </w:p>
    <w:p>
      <w:pPr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更新、改造环境保护设施（设备），</w:t>
      </w:r>
      <w:r>
        <w:rPr>
          <w:rFonts w:hint="eastAsia" w:ascii="宋体" w:hAnsi="宋体" w:cs="宋体"/>
          <w:color w:val="auto"/>
          <w:lang w:eastAsia="zh-CN"/>
        </w:rPr>
        <w:t>工艺</w:t>
      </w:r>
      <w:r>
        <w:rPr>
          <w:rFonts w:hint="eastAsia" w:ascii="宋体" w:hAnsi="宋体" w:cs="宋体"/>
          <w:color w:val="auto"/>
          <w:lang w:val="en-US" w:eastAsia="zh-CN"/>
        </w:rPr>
        <w:t>质量</w:t>
      </w:r>
      <w:r>
        <w:rPr>
          <w:rFonts w:hint="eastAsia" w:ascii="宋体" w:hAnsi="宋体" w:cs="宋体"/>
          <w:color w:val="auto"/>
        </w:rPr>
        <w:t>部</w:t>
      </w:r>
      <w:r>
        <w:rPr>
          <w:rFonts w:hint="eastAsia" w:ascii="宋体" w:hAnsi="宋体" w:cs="宋体"/>
          <w:color w:val="auto"/>
          <w:lang w:eastAsia="zh-CN"/>
        </w:rPr>
        <w:t>要</w:t>
      </w:r>
      <w:r>
        <w:rPr>
          <w:rFonts w:hint="eastAsia" w:ascii="宋体" w:hAnsi="宋体" w:cs="宋体"/>
          <w:color w:val="auto"/>
        </w:rPr>
        <w:t>在认真选型、比价、论证和全面调查的基础上，从优选择，同时报</w:t>
      </w:r>
      <w:r>
        <w:rPr>
          <w:rFonts w:hint="eastAsia" w:ascii="宋体" w:hAnsi="宋体" w:cs="宋体"/>
          <w:color w:val="auto"/>
          <w:lang w:eastAsia="zh-CN"/>
        </w:rPr>
        <w:t>公司领导批准</w:t>
      </w:r>
      <w:r>
        <w:rPr>
          <w:rFonts w:hint="eastAsia" w:ascii="宋体" w:hAnsi="宋体" w:cs="宋体"/>
          <w:color w:val="auto"/>
        </w:rPr>
        <w:t>，如需要须报</w:t>
      </w:r>
      <w:r>
        <w:rPr>
          <w:rFonts w:hint="eastAsia" w:ascii="宋体" w:hAnsi="宋体" w:cs="宋体"/>
          <w:color w:val="auto"/>
          <w:lang w:eastAsia="zh-CN"/>
        </w:rPr>
        <w:t>地方</w:t>
      </w:r>
      <w:r>
        <w:rPr>
          <w:rFonts w:hint="eastAsia" w:ascii="宋体" w:hAnsi="宋体" w:cs="宋体"/>
          <w:color w:val="auto"/>
        </w:rPr>
        <w:t>环境保护部门审批后方可实施。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环境保护设施（设备）在更新、改造完成后，由具有相应资质的单位对治理效果进行监测，达到相关要求后，由公司</w:t>
      </w:r>
      <w:r>
        <w:rPr>
          <w:rFonts w:hint="eastAsia" w:ascii="宋体" w:hAnsi="宋体" w:cs="宋体"/>
          <w:color w:val="auto"/>
          <w:lang w:eastAsia="zh-CN"/>
        </w:rPr>
        <w:t>工艺</w:t>
      </w:r>
      <w:r>
        <w:rPr>
          <w:rFonts w:hint="eastAsia" w:ascii="宋体" w:hAnsi="宋体" w:cs="宋体"/>
          <w:color w:val="auto"/>
          <w:lang w:val="en-US" w:eastAsia="zh-CN"/>
        </w:rPr>
        <w:t>质量</w:t>
      </w:r>
      <w:r>
        <w:rPr>
          <w:rFonts w:hint="eastAsia" w:ascii="宋体" w:hAnsi="宋体" w:cs="宋体"/>
          <w:color w:val="auto"/>
          <w:lang w:eastAsia="zh-CN"/>
        </w:rPr>
        <w:t>部</w:t>
      </w:r>
      <w:r>
        <w:rPr>
          <w:rFonts w:hint="eastAsia" w:ascii="宋体" w:hAnsi="宋体" w:cs="宋体"/>
          <w:color w:val="auto"/>
        </w:rPr>
        <w:t>组织验收</w:t>
      </w:r>
      <w:r>
        <w:rPr>
          <w:rFonts w:hint="eastAsia" w:ascii="宋体" w:hAnsi="宋体" w:cs="宋体"/>
          <w:color w:val="auto"/>
          <w:lang w:eastAsia="zh-CN"/>
        </w:rPr>
        <w:t>，监测报告上报地方环境保护部门</w:t>
      </w:r>
      <w:r>
        <w:rPr>
          <w:rFonts w:hint="eastAsia" w:ascii="宋体" w:hAnsi="宋体" w:cs="宋体"/>
          <w:color w:val="auto"/>
        </w:rPr>
        <w:t>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</w:rPr>
      </w:pPr>
      <w:r>
        <w:rPr>
          <w:rFonts w:hint="eastAsia" w:ascii="宋体" w:hAnsi="宋体" w:cs="宋体"/>
          <w:color w:val="auto"/>
        </w:rPr>
        <w:t>为保障监测人员安全及方便操作，保障监测工作顺利进行，采样场地应当</w:t>
      </w:r>
      <w:r>
        <w:rPr>
          <w:rFonts w:hint="eastAsia" w:ascii="宋体" w:hAnsi="宋体" w:cs="宋体"/>
        </w:rPr>
        <w:t>按照规定和监测规范设置监测点位和永久性采样平台和爬梯。</w:t>
      </w:r>
    </w:p>
    <w:p>
      <w:pPr>
        <w:widowControl/>
        <w:spacing w:line="440" w:lineRule="exact"/>
        <w:jc w:val="left"/>
        <w:rPr>
          <w:rFonts w:ascii="宋体"/>
        </w:rPr>
      </w:pPr>
    </w:p>
    <w:p>
      <w:pPr>
        <w:widowControl/>
        <w:numPr>
          <w:ilvl w:val="0"/>
          <w:numId w:val="1"/>
        </w:numPr>
        <w:spacing w:line="440" w:lineRule="exact"/>
        <w:jc w:val="center"/>
        <w:outlineLvl w:val="1"/>
        <w:rPr>
          <w:rFonts w:ascii="宋体"/>
          <w:b/>
          <w:bCs/>
        </w:rPr>
      </w:pPr>
      <w:r>
        <w:rPr>
          <w:rFonts w:hint="eastAsia" w:ascii="宋体" w:hAnsi="宋体" w:cs="宋体"/>
          <w:b/>
          <w:bCs/>
        </w:rPr>
        <w:t>环境监测管理</w:t>
      </w:r>
    </w:p>
    <w:p>
      <w:pPr>
        <w:widowControl/>
        <w:spacing w:line="440" w:lineRule="exact"/>
        <w:outlineLvl w:val="1"/>
        <w:rPr>
          <w:rFonts w:ascii="宋体"/>
          <w:b/>
          <w:bCs/>
        </w:rPr>
      </w:pP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  <w:lang w:val="en-US" w:eastAsia="zh-CN"/>
        </w:rPr>
        <w:t>生产安全</w:t>
      </w:r>
      <w:r>
        <w:rPr>
          <w:rFonts w:hint="eastAsia" w:ascii="宋体" w:hAnsi="宋体" w:cs="宋体"/>
          <w:color w:val="auto"/>
          <w:lang w:eastAsia="zh-CN"/>
        </w:rPr>
        <w:t>部</w:t>
      </w:r>
      <w:r>
        <w:rPr>
          <w:rFonts w:hint="eastAsia" w:ascii="宋体" w:hAnsi="宋体" w:cs="宋体"/>
          <w:color w:val="auto"/>
        </w:rPr>
        <w:t>制定年度监测方案，明确监测对象、监测频次等，并委托具有相应资质的单位进行监测。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监测范围为公司内及与公司有密切联系的周围环境。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各</w:t>
      </w:r>
      <w:r>
        <w:rPr>
          <w:rFonts w:hint="eastAsia" w:ascii="宋体" w:hAnsi="宋体" w:cs="宋体"/>
          <w:color w:val="auto"/>
          <w:lang w:eastAsia="zh-CN"/>
        </w:rPr>
        <w:t>部门</w:t>
      </w:r>
      <w:r>
        <w:rPr>
          <w:rFonts w:hint="eastAsia" w:ascii="宋体" w:hAnsi="宋体" w:cs="宋体"/>
          <w:color w:val="auto"/>
        </w:rPr>
        <w:t>应积极配合监测工作，确保采样工作在生产设备运转正常情况下进行，负责提供必要的监测条件及设备运行资料等。</w:t>
      </w:r>
    </w:p>
    <w:p>
      <w:pPr>
        <w:widowControl/>
        <w:numPr>
          <w:ilvl w:val="0"/>
          <w:numId w:val="2"/>
        </w:numPr>
        <w:tabs>
          <w:tab w:val="left" w:pos="1440"/>
        </w:tabs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  <w:lang w:eastAsia="zh-CN"/>
        </w:rPr>
        <w:t>相关责任部门</w:t>
      </w:r>
      <w:r>
        <w:rPr>
          <w:rFonts w:hint="eastAsia" w:ascii="宋体" w:hAnsi="宋体" w:cs="宋体"/>
          <w:color w:val="auto"/>
        </w:rPr>
        <w:t>负责保存监测报告，建立监测档案，监测报告保存期限不得少于三年。</w:t>
      </w:r>
    </w:p>
    <w:p>
      <w:pPr>
        <w:widowControl/>
        <w:numPr>
          <w:ilvl w:val="0"/>
          <w:numId w:val="2"/>
        </w:numPr>
        <w:tabs>
          <w:tab w:val="left" w:pos="1440"/>
        </w:tabs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  <w:lang w:eastAsia="zh-CN"/>
        </w:rPr>
        <w:t>相关责任部门</w:t>
      </w:r>
      <w:r>
        <w:rPr>
          <w:rFonts w:hint="eastAsia" w:ascii="宋体" w:hAnsi="宋体" w:cs="宋体"/>
          <w:color w:val="auto"/>
        </w:rPr>
        <w:t>负责将监测结果传达至各相关</w:t>
      </w:r>
      <w:r>
        <w:rPr>
          <w:rFonts w:hint="eastAsia" w:ascii="宋体" w:hAnsi="宋体" w:cs="宋体"/>
          <w:color w:val="auto"/>
          <w:lang w:eastAsia="zh-CN"/>
        </w:rPr>
        <w:t>部门</w:t>
      </w:r>
      <w:r>
        <w:rPr>
          <w:rFonts w:hint="eastAsia" w:ascii="宋体" w:hAnsi="宋体" w:cs="宋体"/>
          <w:color w:val="auto"/>
        </w:rPr>
        <w:t>，发现监测数据超标时，及时告知被测单位进行整改。</w:t>
      </w:r>
    </w:p>
    <w:p>
      <w:pPr>
        <w:widowControl/>
        <w:spacing w:line="440" w:lineRule="exact"/>
        <w:jc w:val="left"/>
        <w:rPr>
          <w:rFonts w:ascii="宋体"/>
          <w:color w:val="FF0000"/>
        </w:rPr>
      </w:pPr>
    </w:p>
    <w:p>
      <w:pPr>
        <w:widowControl/>
        <w:spacing w:line="440" w:lineRule="exact"/>
        <w:ind w:firstLine="422" w:firstLineChars="200"/>
        <w:jc w:val="center"/>
        <w:outlineLvl w:val="1"/>
        <w:rPr>
          <w:rFonts w:ascii="宋体"/>
          <w:b/>
          <w:bCs/>
          <w:color w:val="FF0000"/>
        </w:rPr>
      </w:pPr>
    </w:p>
    <w:p>
      <w:pPr>
        <w:widowControl/>
        <w:numPr>
          <w:ilvl w:val="0"/>
          <w:numId w:val="1"/>
        </w:numPr>
        <w:spacing w:line="440" w:lineRule="exact"/>
        <w:jc w:val="center"/>
        <w:outlineLvl w:val="1"/>
        <w:rPr>
          <w:rFonts w:ascii="宋体"/>
          <w:b/>
          <w:bCs/>
        </w:rPr>
      </w:pPr>
      <w:r>
        <w:rPr>
          <w:rFonts w:hint="eastAsia" w:ascii="宋体" w:hAnsi="宋体" w:cs="宋体"/>
          <w:b/>
          <w:bCs/>
        </w:rPr>
        <w:t>应急救援、事故处理和重污染天气管理</w:t>
      </w:r>
    </w:p>
    <w:p>
      <w:pPr>
        <w:widowControl/>
        <w:spacing w:line="440" w:lineRule="exact"/>
        <w:outlineLvl w:val="1"/>
        <w:rPr>
          <w:rFonts w:ascii="宋体"/>
          <w:b/>
          <w:bCs/>
          <w:color w:val="FF0000"/>
        </w:rPr>
      </w:pP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  <w:lang w:val="en-US" w:eastAsia="zh-CN"/>
        </w:rPr>
        <w:t>生产安全</w:t>
      </w:r>
      <w:r>
        <w:rPr>
          <w:rFonts w:hint="eastAsia" w:ascii="宋体" w:hAnsi="宋体" w:cs="宋体"/>
          <w:color w:val="auto"/>
          <w:lang w:eastAsia="zh-CN"/>
        </w:rPr>
        <w:t>部</w:t>
      </w:r>
      <w:r>
        <w:rPr>
          <w:rFonts w:hint="eastAsia" w:ascii="宋体" w:hAnsi="宋体" w:cs="宋体"/>
          <w:color w:val="auto"/>
        </w:rPr>
        <w:t>制定突发环境事件应急预案，并报环境保护主管部门备案。</w:t>
      </w:r>
    </w:p>
    <w:p>
      <w:pPr>
        <w:pStyle w:val="1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440" w:lineRule="exact"/>
        <w:ind w:firstLineChars="0"/>
        <w:jc w:val="left"/>
        <w:rPr>
          <w:rFonts w:ascii="Cambria" w:hAnsi="Cambria" w:cs="Cambria"/>
          <w:color w:val="auto"/>
        </w:rPr>
      </w:pPr>
      <w:r>
        <w:rPr>
          <w:rFonts w:hint="eastAsia" w:ascii="Cambria" w:hAnsi="Cambria" w:cs="宋体"/>
          <w:color w:val="auto"/>
        </w:rPr>
        <w:t>加强突发环境事件应急能力建设，配备相应的应急救援装备和物资，做好经常性维护保养，提高突发事件下应急响应能力。</w:t>
      </w:r>
    </w:p>
    <w:p>
      <w:pPr>
        <w:pStyle w:val="1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440" w:lineRule="exact"/>
        <w:ind w:firstLineChars="0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在发生或者可能发生突发环境事件时，</w:t>
      </w:r>
      <w:r>
        <w:rPr>
          <w:rFonts w:hint="eastAsia" w:cs="宋体"/>
          <w:color w:val="auto"/>
        </w:rPr>
        <w:t>立即报告至</w:t>
      </w:r>
      <w:r>
        <w:rPr>
          <w:rFonts w:hint="eastAsia" w:cs="宋体"/>
          <w:color w:val="auto"/>
          <w:lang w:eastAsia="zh-CN"/>
        </w:rPr>
        <w:t>工艺</w:t>
      </w:r>
      <w:r>
        <w:rPr>
          <w:rFonts w:hint="eastAsia" w:cs="宋体"/>
          <w:color w:val="auto"/>
          <w:lang w:val="en-US" w:eastAsia="zh-CN"/>
        </w:rPr>
        <w:t>质量</w:t>
      </w:r>
      <w:r>
        <w:rPr>
          <w:rFonts w:hint="eastAsia" w:cs="宋体"/>
          <w:color w:val="auto"/>
          <w:lang w:eastAsia="zh-CN"/>
        </w:rPr>
        <w:t>部、生产安全部</w:t>
      </w:r>
      <w:r>
        <w:rPr>
          <w:rFonts w:hint="eastAsia" w:cs="宋体"/>
          <w:color w:val="auto"/>
        </w:rPr>
        <w:t>，并及时启动相应等级的应急预案，</w:t>
      </w:r>
      <w:r>
        <w:rPr>
          <w:rFonts w:hint="eastAsia" w:ascii="宋体" w:hAnsi="宋体" w:cs="宋体"/>
          <w:color w:val="auto"/>
        </w:rPr>
        <w:t>及时通报可能受到危害的</w:t>
      </w:r>
      <w:r>
        <w:rPr>
          <w:rFonts w:hint="eastAsia" w:ascii="宋体" w:hAnsi="宋体" w:cs="宋体"/>
          <w:color w:val="auto"/>
          <w:lang w:eastAsia="zh-CN"/>
        </w:rPr>
        <w:t>部门</w:t>
      </w:r>
      <w:r>
        <w:rPr>
          <w:rFonts w:hint="eastAsia" w:ascii="宋体" w:hAnsi="宋体" w:cs="宋体"/>
          <w:color w:val="auto"/>
        </w:rPr>
        <w:t>和居民，并向</w:t>
      </w:r>
      <w:r>
        <w:rPr>
          <w:rFonts w:hint="eastAsia" w:ascii="宋体" w:hAnsi="宋体" w:cs="宋体"/>
          <w:color w:val="auto"/>
          <w:lang w:eastAsia="zh-CN"/>
        </w:rPr>
        <w:t>上级公司安技环保部、</w:t>
      </w:r>
      <w:r>
        <w:rPr>
          <w:rFonts w:hint="eastAsia" w:ascii="宋体" w:hAnsi="宋体" w:cs="宋体"/>
          <w:color w:val="auto"/>
        </w:rPr>
        <w:t>环境保护主管部门和有关部门报告。</w:t>
      </w:r>
      <w:r>
        <w:rPr>
          <w:rFonts w:hint="eastAsia" w:cs="宋体"/>
          <w:color w:val="auto"/>
        </w:rPr>
        <w:t>事故报告及要求，按照公司事故报告、调查处理规定执行。</w:t>
      </w:r>
    </w:p>
    <w:p>
      <w:pPr>
        <w:pStyle w:val="1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line="440" w:lineRule="exact"/>
        <w:ind w:firstLineChars="0"/>
        <w:jc w:val="left"/>
        <w:rPr>
          <w:rFonts w:ascii="Cambria" w:hAnsi="Cambria" w:cs="Cambria"/>
          <w:color w:val="auto"/>
        </w:rPr>
      </w:pPr>
      <w:r>
        <w:rPr>
          <w:rFonts w:hint="eastAsia" w:ascii="Cambria" w:hAnsi="Cambria" w:cs="宋体"/>
          <w:color w:val="auto"/>
        </w:rPr>
        <w:t>突发环境事件结束后，对事故进行调查、分析、处理，对事故的纠正和预防做到闭环管理。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  <w:lang w:val="en-US" w:eastAsia="zh-CN"/>
        </w:rPr>
        <w:t>生产安全</w:t>
      </w:r>
      <w:r>
        <w:rPr>
          <w:rFonts w:hint="eastAsia" w:ascii="宋体" w:hAnsi="宋体" w:cs="宋体"/>
          <w:color w:val="auto"/>
          <w:lang w:eastAsia="zh-CN"/>
        </w:rPr>
        <w:t>部</w:t>
      </w:r>
      <w:r>
        <w:rPr>
          <w:rFonts w:hint="eastAsia" w:ascii="宋体" w:hAnsi="宋体" w:cs="宋体"/>
          <w:color w:val="auto"/>
        </w:rPr>
        <w:t>制定重污染天气应急响应操作方案，向环境保护主管部门备案。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在接到重污染天气的预警通知时，</w:t>
      </w:r>
      <w:r>
        <w:rPr>
          <w:rFonts w:hint="eastAsia" w:ascii="宋体" w:hAnsi="宋体" w:cs="宋体"/>
          <w:color w:val="auto"/>
          <w:lang w:eastAsia="zh-CN"/>
        </w:rPr>
        <w:t>生产安全部各车间</w:t>
      </w:r>
      <w:r>
        <w:rPr>
          <w:rFonts w:hint="eastAsia" w:ascii="宋体" w:hAnsi="宋体" w:cs="宋体"/>
          <w:color w:val="auto"/>
        </w:rPr>
        <w:t>应按照重污染天气应急响应操作方案执行相应的应急措施。</w:t>
      </w:r>
    </w:p>
    <w:p>
      <w:pPr>
        <w:widowControl/>
        <w:spacing w:line="440" w:lineRule="exact"/>
        <w:ind w:firstLine="422" w:firstLineChars="200"/>
        <w:jc w:val="center"/>
        <w:outlineLvl w:val="1"/>
        <w:rPr>
          <w:rFonts w:ascii="宋体"/>
          <w:b/>
          <w:bCs/>
          <w:color w:val="auto"/>
        </w:rPr>
      </w:pPr>
    </w:p>
    <w:p>
      <w:pPr>
        <w:widowControl/>
        <w:numPr>
          <w:ilvl w:val="0"/>
          <w:numId w:val="1"/>
        </w:numPr>
        <w:spacing w:line="440" w:lineRule="exact"/>
        <w:jc w:val="center"/>
        <w:outlineLvl w:val="1"/>
        <w:rPr>
          <w:rFonts w:ascii="宋体"/>
          <w:b/>
          <w:bCs/>
          <w:color w:val="auto"/>
        </w:rPr>
      </w:pPr>
      <w:r>
        <w:rPr>
          <w:rFonts w:hint="eastAsia" w:ascii="宋体" w:hAnsi="宋体" w:cs="宋体"/>
          <w:b/>
          <w:bCs/>
          <w:color w:val="auto"/>
        </w:rPr>
        <w:t>检查与考核</w:t>
      </w:r>
    </w:p>
    <w:p>
      <w:pPr>
        <w:widowControl/>
        <w:spacing w:line="440" w:lineRule="exact"/>
        <w:outlineLvl w:val="1"/>
        <w:rPr>
          <w:rFonts w:ascii="宋体"/>
          <w:b/>
          <w:bCs/>
          <w:color w:val="auto"/>
        </w:rPr>
      </w:pP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  <w:lang w:eastAsia="zh-CN"/>
        </w:rPr>
        <w:t>工艺</w:t>
      </w:r>
      <w:r>
        <w:rPr>
          <w:rFonts w:hint="eastAsia" w:ascii="宋体" w:hAnsi="宋体" w:cs="宋体"/>
          <w:color w:val="auto"/>
          <w:lang w:val="en-US" w:eastAsia="zh-CN"/>
        </w:rPr>
        <w:t>质量</w:t>
      </w:r>
      <w:r>
        <w:rPr>
          <w:rFonts w:hint="eastAsia" w:ascii="宋体" w:hAnsi="宋体" w:cs="宋体"/>
          <w:color w:val="auto"/>
          <w:lang w:eastAsia="zh-CN"/>
        </w:rPr>
        <w:t>部</w:t>
      </w:r>
      <w:r>
        <w:rPr>
          <w:rFonts w:hint="eastAsia" w:ascii="宋体" w:hAnsi="宋体" w:cs="宋体"/>
          <w:color w:val="auto"/>
        </w:rPr>
        <w:t>对规定执行情况进行监督检查，对发现的问题按《环境保护管理考核办法》进行考核。</w:t>
      </w:r>
    </w:p>
    <w:p>
      <w:pPr>
        <w:widowControl/>
        <w:spacing w:line="440" w:lineRule="exact"/>
        <w:jc w:val="left"/>
        <w:rPr>
          <w:rFonts w:ascii="宋体"/>
          <w:color w:val="auto"/>
        </w:rPr>
      </w:pPr>
    </w:p>
    <w:p>
      <w:pPr>
        <w:widowControl/>
        <w:numPr>
          <w:ilvl w:val="0"/>
          <w:numId w:val="1"/>
        </w:numPr>
        <w:spacing w:line="440" w:lineRule="exact"/>
        <w:jc w:val="center"/>
        <w:outlineLvl w:val="1"/>
        <w:rPr>
          <w:rFonts w:ascii="宋体"/>
          <w:b/>
          <w:bCs/>
          <w:color w:val="auto"/>
        </w:rPr>
      </w:pPr>
      <w:r>
        <w:rPr>
          <w:rFonts w:hint="eastAsia" w:ascii="宋体" w:hAnsi="宋体" w:cs="宋体"/>
          <w:b/>
          <w:bCs/>
          <w:color w:val="auto"/>
        </w:rPr>
        <w:t>附则</w:t>
      </w:r>
    </w:p>
    <w:p>
      <w:pPr>
        <w:widowControl/>
        <w:spacing w:line="440" w:lineRule="exact"/>
        <w:outlineLvl w:val="1"/>
        <w:rPr>
          <w:rFonts w:ascii="宋体"/>
          <w:b/>
          <w:bCs/>
          <w:color w:val="auto"/>
        </w:rPr>
      </w:pP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本规定由</w:t>
      </w:r>
      <w:r>
        <w:rPr>
          <w:rFonts w:hint="eastAsia" w:ascii="宋体" w:hAnsi="宋体" w:cs="宋体"/>
          <w:color w:val="auto"/>
          <w:lang w:eastAsia="zh-CN"/>
        </w:rPr>
        <w:t>工艺</w:t>
      </w:r>
      <w:r>
        <w:rPr>
          <w:rFonts w:hint="eastAsia" w:ascii="宋体" w:hAnsi="宋体" w:cs="宋体"/>
          <w:color w:val="auto"/>
          <w:lang w:val="en-US" w:eastAsia="zh-CN"/>
        </w:rPr>
        <w:t>质量</w:t>
      </w:r>
      <w:r>
        <w:rPr>
          <w:rFonts w:hint="eastAsia" w:ascii="宋体" w:hAnsi="宋体" w:cs="宋体"/>
          <w:color w:val="auto"/>
          <w:lang w:eastAsia="zh-CN"/>
        </w:rPr>
        <w:t>部</w:t>
      </w:r>
      <w:r>
        <w:rPr>
          <w:rFonts w:hint="eastAsia" w:ascii="宋体" w:hAnsi="宋体" w:cs="宋体"/>
          <w:color w:val="auto"/>
        </w:rPr>
        <w:t>负责解释。</w:t>
      </w:r>
    </w:p>
    <w:p>
      <w:pPr>
        <w:widowControl/>
        <w:numPr>
          <w:ilvl w:val="0"/>
          <w:numId w:val="2"/>
        </w:numPr>
        <w:spacing w:line="440" w:lineRule="exact"/>
        <w:jc w:val="left"/>
        <w:rPr>
          <w:rFonts w:ascii="宋体"/>
          <w:color w:val="auto"/>
        </w:rPr>
      </w:pPr>
      <w:r>
        <w:rPr>
          <w:rFonts w:hint="eastAsia" w:ascii="宋体" w:hAnsi="宋体" w:cs="宋体"/>
          <w:color w:val="auto"/>
        </w:rPr>
        <w:t>本规定自印发之日起执行。</w:t>
      </w:r>
    </w:p>
    <w:p>
      <w:pPr>
        <w:spacing w:line="440" w:lineRule="exact"/>
        <w:rPr>
          <w:color w:val="auto"/>
        </w:rPr>
      </w:pPr>
    </w:p>
    <w:sectPr>
      <w:pgSz w:w="11906" w:h="16838"/>
      <w:pgMar w:top="1418" w:right="1418" w:bottom="1418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5B3965"/>
    <w:multiLevelType w:val="multilevel"/>
    <w:tmpl w:val="345B3965"/>
    <w:lvl w:ilvl="0" w:tentative="0">
      <w:start w:val="1"/>
      <w:numFmt w:val="japaneseCounting"/>
      <w:lvlText w:val="第%1章"/>
      <w:lvlJc w:val="left"/>
      <w:pPr>
        <w:tabs>
          <w:tab w:val="left" w:pos="840"/>
        </w:tabs>
        <w:ind w:left="840" w:hanging="8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6774B90"/>
    <w:multiLevelType w:val="multilevel"/>
    <w:tmpl w:val="56774B90"/>
    <w:lvl w:ilvl="0" w:tentative="0">
      <w:start w:val="1"/>
      <w:numFmt w:val="chineseCountingThousand"/>
      <w:lvlText w:val="第%1条"/>
      <w:lvlJc w:val="left"/>
      <w:pPr>
        <w:tabs>
          <w:tab w:val="left" w:pos="1021"/>
        </w:tabs>
        <w:ind w:firstLine="42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WEwOWEyZThmNDg0MDFiN2E2NWJmNTlkOWZkODEyMWMifQ=="/>
  </w:docVars>
  <w:rsids>
    <w:rsidRoot w:val="00E5131C"/>
    <w:rsid w:val="00007233"/>
    <w:rsid w:val="00010413"/>
    <w:rsid w:val="00020CA1"/>
    <w:rsid w:val="00023EAD"/>
    <w:rsid w:val="000256BB"/>
    <w:rsid w:val="00027243"/>
    <w:rsid w:val="000376E3"/>
    <w:rsid w:val="000400A7"/>
    <w:rsid w:val="00046C2B"/>
    <w:rsid w:val="00063701"/>
    <w:rsid w:val="00064D32"/>
    <w:rsid w:val="000712B4"/>
    <w:rsid w:val="00071CBC"/>
    <w:rsid w:val="0007638E"/>
    <w:rsid w:val="000805F4"/>
    <w:rsid w:val="00084D75"/>
    <w:rsid w:val="000868E0"/>
    <w:rsid w:val="00095971"/>
    <w:rsid w:val="000A64D5"/>
    <w:rsid w:val="000B5741"/>
    <w:rsid w:val="000C6BD4"/>
    <w:rsid w:val="000D132F"/>
    <w:rsid w:val="000D4808"/>
    <w:rsid w:val="000D79F5"/>
    <w:rsid w:val="000D7FB5"/>
    <w:rsid w:val="000E24D0"/>
    <w:rsid w:val="000F7FE0"/>
    <w:rsid w:val="00111029"/>
    <w:rsid w:val="001176EC"/>
    <w:rsid w:val="0012264C"/>
    <w:rsid w:val="00127B69"/>
    <w:rsid w:val="0014245C"/>
    <w:rsid w:val="00147B33"/>
    <w:rsid w:val="00151122"/>
    <w:rsid w:val="00153933"/>
    <w:rsid w:val="00153CC6"/>
    <w:rsid w:val="00161A09"/>
    <w:rsid w:val="00161DC0"/>
    <w:rsid w:val="00180561"/>
    <w:rsid w:val="00180880"/>
    <w:rsid w:val="00182C94"/>
    <w:rsid w:val="00187E7F"/>
    <w:rsid w:val="00190177"/>
    <w:rsid w:val="00193B8C"/>
    <w:rsid w:val="001A0F11"/>
    <w:rsid w:val="001A1DA1"/>
    <w:rsid w:val="001B5EBA"/>
    <w:rsid w:val="001B6DE9"/>
    <w:rsid w:val="001C73FD"/>
    <w:rsid w:val="001D3362"/>
    <w:rsid w:val="001D7953"/>
    <w:rsid w:val="001F4272"/>
    <w:rsid w:val="00201EE6"/>
    <w:rsid w:val="002029F7"/>
    <w:rsid w:val="00216AFA"/>
    <w:rsid w:val="00255DD0"/>
    <w:rsid w:val="00272DA0"/>
    <w:rsid w:val="002730F0"/>
    <w:rsid w:val="00276FC6"/>
    <w:rsid w:val="00280D78"/>
    <w:rsid w:val="002A1F22"/>
    <w:rsid w:val="002B55E8"/>
    <w:rsid w:val="002C45EB"/>
    <w:rsid w:val="002D25E4"/>
    <w:rsid w:val="002D7925"/>
    <w:rsid w:val="002E36FA"/>
    <w:rsid w:val="00303B68"/>
    <w:rsid w:val="00303E7E"/>
    <w:rsid w:val="00320520"/>
    <w:rsid w:val="00324247"/>
    <w:rsid w:val="0033496A"/>
    <w:rsid w:val="00335980"/>
    <w:rsid w:val="00345A9B"/>
    <w:rsid w:val="00370738"/>
    <w:rsid w:val="003708F5"/>
    <w:rsid w:val="00371E80"/>
    <w:rsid w:val="0037353A"/>
    <w:rsid w:val="003875E6"/>
    <w:rsid w:val="003A7BD4"/>
    <w:rsid w:val="003B150C"/>
    <w:rsid w:val="003B1F02"/>
    <w:rsid w:val="003D6235"/>
    <w:rsid w:val="003E0152"/>
    <w:rsid w:val="003E17A5"/>
    <w:rsid w:val="003E219A"/>
    <w:rsid w:val="003F1BF7"/>
    <w:rsid w:val="003F3EA9"/>
    <w:rsid w:val="003F6B22"/>
    <w:rsid w:val="0040592E"/>
    <w:rsid w:val="00406F70"/>
    <w:rsid w:val="00410FE8"/>
    <w:rsid w:val="00412DE8"/>
    <w:rsid w:val="004168F6"/>
    <w:rsid w:val="00422256"/>
    <w:rsid w:val="00422C97"/>
    <w:rsid w:val="004276AA"/>
    <w:rsid w:val="004328B6"/>
    <w:rsid w:val="0043611C"/>
    <w:rsid w:val="00440436"/>
    <w:rsid w:val="00446294"/>
    <w:rsid w:val="00446EC1"/>
    <w:rsid w:val="004475B3"/>
    <w:rsid w:val="00462533"/>
    <w:rsid w:val="0047358E"/>
    <w:rsid w:val="00482727"/>
    <w:rsid w:val="00482799"/>
    <w:rsid w:val="00486BE2"/>
    <w:rsid w:val="004C36A3"/>
    <w:rsid w:val="004C3F05"/>
    <w:rsid w:val="004C5AD7"/>
    <w:rsid w:val="004D6C7E"/>
    <w:rsid w:val="004F2A14"/>
    <w:rsid w:val="004F5221"/>
    <w:rsid w:val="0051430A"/>
    <w:rsid w:val="0052150C"/>
    <w:rsid w:val="005225DE"/>
    <w:rsid w:val="0053217A"/>
    <w:rsid w:val="00542B43"/>
    <w:rsid w:val="00551B1A"/>
    <w:rsid w:val="00554D58"/>
    <w:rsid w:val="005562BA"/>
    <w:rsid w:val="00563C25"/>
    <w:rsid w:val="00566061"/>
    <w:rsid w:val="00577B53"/>
    <w:rsid w:val="00580091"/>
    <w:rsid w:val="0058097F"/>
    <w:rsid w:val="00591A4E"/>
    <w:rsid w:val="005937AC"/>
    <w:rsid w:val="00593F7C"/>
    <w:rsid w:val="005C5534"/>
    <w:rsid w:val="005E2B11"/>
    <w:rsid w:val="005E439F"/>
    <w:rsid w:val="005F4A4F"/>
    <w:rsid w:val="005F625F"/>
    <w:rsid w:val="005F645A"/>
    <w:rsid w:val="005F6695"/>
    <w:rsid w:val="00600C8A"/>
    <w:rsid w:val="0060368B"/>
    <w:rsid w:val="0060766F"/>
    <w:rsid w:val="00607C07"/>
    <w:rsid w:val="0061177D"/>
    <w:rsid w:val="00622371"/>
    <w:rsid w:val="00633E3E"/>
    <w:rsid w:val="00634D86"/>
    <w:rsid w:val="00637068"/>
    <w:rsid w:val="00640410"/>
    <w:rsid w:val="006406E2"/>
    <w:rsid w:val="006421E6"/>
    <w:rsid w:val="00647A67"/>
    <w:rsid w:val="00652BE8"/>
    <w:rsid w:val="0065373E"/>
    <w:rsid w:val="00654B09"/>
    <w:rsid w:val="00662CCF"/>
    <w:rsid w:val="0066340C"/>
    <w:rsid w:val="00673468"/>
    <w:rsid w:val="00675AAF"/>
    <w:rsid w:val="00685224"/>
    <w:rsid w:val="006905A3"/>
    <w:rsid w:val="00692948"/>
    <w:rsid w:val="006938ED"/>
    <w:rsid w:val="006A0A5F"/>
    <w:rsid w:val="006A2781"/>
    <w:rsid w:val="006D1FCE"/>
    <w:rsid w:val="006D4196"/>
    <w:rsid w:val="006F1FD2"/>
    <w:rsid w:val="0070412E"/>
    <w:rsid w:val="00724828"/>
    <w:rsid w:val="0073011F"/>
    <w:rsid w:val="00732662"/>
    <w:rsid w:val="00735ED4"/>
    <w:rsid w:val="00737318"/>
    <w:rsid w:val="007459B2"/>
    <w:rsid w:val="0075096D"/>
    <w:rsid w:val="00751E08"/>
    <w:rsid w:val="00757227"/>
    <w:rsid w:val="00770E9B"/>
    <w:rsid w:val="00784CF3"/>
    <w:rsid w:val="00785446"/>
    <w:rsid w:val="00787957"/>
    <w:rsid w:val="007A5772"/>
    <w:rsid w:val="007A5F9A"/>
    <w:rsid w:val="007B4CED"/>
    <w:rsid w:val="007C255C"/>
    <w:rsid w:val="007C774C"/>
    <w:rsid w:val="007D6E71"/>
    <w:rsid w:val="007D7917"/>
    <w:rsid w:val="007E600F"/>
    <w:rsid w:val="007E6514"/>
    <w:rsid w:val="007E7F10"/>
    <w:rsid w:val="00811EB1"/>
    <w:rsid w:val="00811F95"/>
    <w:rsid w:val="0081433F"/>
    <w:rsid w:val="00816897"/>
    <w:rsid w:val="0082330D"/>
    <w:rsid w:val="00830232"/>
    <w:rsid w:val="00831D5B"/>
    <w:rsid w:val="008479F4"/>
    <w:rsid w:val="00861DB0"/>
    <w:rsid w:val="00864A5A"/>
    <w:rsid w:val="00872F2B"/>
    <w:rsid w:val="008737C6"/>
    <w:rsid w:val="0089798E"/>
    <w:rsid w:val="008A279C"/>
    <w:rsid w:val="008A2EB5"/>
    <w:rsid w:val="008B02F7"/>
    <w:rsid w:val="008B66AD"/>
    <w:rsid w:val="008B6A00"/>
    <w:rsid w:val="008C03A9"/>
    <w:rsid w:val="008D21D2"/>
    <w:rsid w:val="008D24D1"/>
    <w:rsid w:val="008E2AB1"/>
    <w:rsid w:val="008E4BBE"/>
    <w:rsid w:val="008E7223"/>
    <w:rsid w:val="008F2213"/>
    <w:rsid w:val="00907A58"/>
    <w:rsid w:val="00907E77"/>
    <w:rsid w:val="00910219"/>
    <w:rsid w:val="00915946"/>
    <w:rsid w:val="00917CBE"/>
    <w:rsid w:val="009236CE"/>
    <w:rsid w:val="00924116"/>
    <w:rsid w:val="009262DC"/>
    <w:rsid w:val="00927E9E"/>
    <w:rsid w:val="0093443D"/>
    <w:rsid w:val="009352A0"/>
    <w:rsid w:val="0093660F"/>
    <w:rsid w:val="00943292"/>
    <w:rsid w:val="0094409B"/>
    <w:rsid w:val="0095181D"/>
    <w:rsid w:val="009705AD"/>
    <w:rsid w:val="0097443A"/>
    <w:rsid w:val="0098517A"/>
    <w:rsid w:val="009862A1"/>
    <w:rsid w:val="00993D35"/>
    <w:rsid w:val="00996094"/>
    <w:rsid w:val="009961D4"/>
    <w:rsid w:val="009A070A"/>
    <w:rsid w:val="009A6E3F"/>
    <w:rsid w:val="009B1572"/>
    <w:rsid w:val="009B374F"/>
    <w:rsid w:val="009B61CD"/>
    <w:rsid w:val="009B6C0E"/>
    <w:rsid w:val="009C0F70"/>
    <w:rsid w:val="009D078D"/>
    <w:rsid w:val="009D72CB"/>
    <w:rsid w:val="009D7316"/>
    <w:rsid w:val="009D74DF"/>
    <w:rsid w:val="009D772E"/>
    <w:rsid w:val="009E07D1"/>
    <w:rsid w:val="009E7D13"/>
    <w:rsid w:val="009F53BC"/>
    <w:rsid w:val="009F59CF"/>
    <w:rsid w:val="00A10667"/>
    <w:rsid w:val="00A1215A"/>
    <w:rsid w:val="00A14CFF"/>
    <w:rsid w:val="00A23522"/>
    <w:rsid w:val="00A24176"/>
    <w:rsid w:val="00A341CF"/>
    <w:rsid w:val="00A3439C"/>
    <w:rsid w:val="00A51FCB"/>
    <w:rsid w:val="00A521E0"/>
    <w:rsid w:val="00A812D1"/>
    <w:rsid w:val="00A82858"/>
    <w:rsid w:val="00A9303B"/>
    <w:rsid w:val="00AA3009"/>
    <w:rsid w:val="00AA3814"/>
    <w:rsid w:val="00AA44E4"/>
    <w:rsid w:val="00AC3FAE"/>
    <w:rsid w:val="00AC5856"/>
    <w:rsid w:val="00AD5BD3"/>
    <w:rsid w:val="00AD5E5F"/>
    <w:rsid w:val="00AE2C4A"/>
    <w:rsid w:val="00AF22E1"/>
    <w:rsid w:val="00AF6787"/>
    <w:rsid w:val="00B02322"/>
    <w:rsid w:val="00B06202"/>
    <w:rsid w:val="00B17B03"/>
    <w:rsid w:val="00B20152"/>
    <w:rsid w:val="00B2180C"/>
    <w:rsid w:val="00B242BF"/>
    <w:rsid w:val="00B32FFD"/>
    <w:rsid w:val="00B33125"/>
    <w:rsid w:val="00B43E88"/>
    <w:rsid w:val="00B43F89"/>
    <w:rsid w:val="00B53EFC"/>
    <w:rsid w:val="00B53F48"/>
    <w:rsid w:val="00B55BAB"/>
    <w:rsid w:val="00B64CAD"/>
    <w:rsid w:val="00B678DC"/>
    <w:rsid w:val="00B76E9E"/>
    <w:rsid w:val="00B8164E"/>
    <w:rsid w:val="00B848B6"/>
    <w:rsid w:val="00B861EF"/>
    <w:rsid w:val="00B87086"/>
    <w:rsid w:val="00B90E21"/>
    <w:rsid w:val="00B92D3D"/>
    <w:rsid w:val="00B92EC9"/>
    <w:rsid w:val="00B930E2"/>
    <w:rsid w:val="00B95835"/>
    <w:rsid w:val="00BA7B5A"/>
    <w:rsid w:val="00BB1031"/>
    <w:rsid w:val="00BD3A65"/>
    <w:rsid w:val="00BD4509"/>
    <w:rsid w:val="00BE2D97"/>
    <w:rsid w:val="00BE6C60"/>
    <w:rsid w:val="00BF0EFF"/>
    <w:rsid w:val="00C023E3"/>
    <w:rsid w:val="00C03CB7"/>
    <w:rsid w:val="00C04757"/>
    <w:rsid w:val="00C06979"/>
    <w:rsid w:val="00C17F6B"/>
    <w:rsid w:val="00C26D41"/>
    <w:rsid w:val="00C31047"/>
    <w:rsid w:val="00C34800"/>
    <w:rsid w:val="00C35F55"/>
    <w:rsid w:val="00C36CF0"/>
    <w:rsid w:val="00C428E3"/>
    <w:rsid w:val="00C42FB7"/>
    <w:rsid w:val="00C45B48"/>
    <w:rsid w:val="00C4681B"/>
    <w:rsid w:val="00C607D8"/>
    <w:rsid w:val="00C6082B"/>
    <w:rsid w:val="00C65164"/>
    <w:rsid w:val="00C71939"/>
    <w:rsid w:val="00C7479E"/>
    <w:rsid w:val="00C764ED"/>
    <w:rsid w:val="00C77347"/>
    <w:rsid w:val="00C82E8E"/>
    <w:rsid w:val="00CA6B2E"/>
    <w:rsid w:val="00CB2920"/>
    <w:rsid w:val="00CB37A0"/>
    <w:rsid w:val="00CB6F13"/>
    <w:rsid w:val="00CC5662"/>
    <w:rsid w:val="00CE1B0E"/>
    <w:rsid w:val="00CE729F"/>
    <w:rsid w:val="00D102DA"/>
    <w:rsid w:val="00D321E3"/>
    <w:rsid w:val="00D35351"/>
    <w:rsid w:val="00D47A35"/>
    <w:rsid w:val="00D60F19"/>
    <w:rsid w:val="00D62A13"/>
    <w:rsid w:val="00D76403"/>
    <w:rsid w:val="00D811E8"/>
    <w:rsid w:val="00D90652"/>
    <w:rsid w:val="00D94AF1"/>
    <w:rsid w:val="00D95D88"/>
    <w:rsid w:val="00DA685E"/>
    <w:rsid w:val="00DB3E3A"/>
    <w:rsid w:val="00DC64FF"/>
    <w:rsid w:val="00DD0AAA"/>
    <w:rsid w:val="00DF1030"/>
    <w:rsid w:val="00DF7388"/>
    <w:rsid w:val="00E14F41"/>
    <w:rsid w:val="00E23809"/>
    <w:rsid w:val="00E41546"/>
    <w:rsid w:val="00E41A6C"/>
    <w:rsid w:val="00E42795"/>
    <w:rsid w:val="00E5131C"/>
    <w:rsid w:val="00E667DA"/>
    <w:rsid w:val="00E712F8"/>
    <w:rsid w:val="00E80AB2"/>
    <w:rsid w:val="00E92A10"/>
    <w:rsid w:val="00E93791"/>
    <w:rsid w:val="00EA1DD8"/>
    <w:rsid w:val="00EA3487"/>
    <w:rsid w:val="00EA6D06"/>
    <w:rsid w:val="00EB38E6"/>
    <w:rsid w:val="00EB643C"/>
    <w:rsid w:val="00EB775F"/>
    <w:rsid w:val="00EC6EF8"/>
    <w:rsid w:val="00ED4A75"/>
    <w:rsid w:val="00EF19CF"/>
    <w:rsid w:val="00F02A62"/>
    <w:rsid w:val="00F0757B"/>
    <w:rsid w:val="00F242EF"/>
    <w:rsid w:val="00F25FD6"/>
    <w:rsid w:val="00F279CE"/>
    <w:rsid w:val="00F33484"/>
    <w:rsid w:val="00F410DB"/>
    <w:rsid w:val="00F41557"/>
    <w:rsid w:val="00F456FC"/>
    <w:rsid w:val="00F4785B"/>
    <w:rsid w:val="00F61528"/>
    <w:rsid w:val="00F643B6"/>
    <w:rsid w:val="00F64D2D"/>
    <w:rsid w:val="00F6677D"/>
    <w:rsid w:val="00F76098"/>
    <w:rsid w:val="00F82D8E"/>
    <w:rsid w:val="00F83CDF"/>
    <w:rsid w:val="00F90A1D"/>
    <w:rsid w:val="00F92BC1"/>
    <w:rsid w:val="00F92DC0"/>
    <w:rsid w:val="00F97226"/>
    <w:rsid w:val="00F97308"/>
    <w:rsid w:val="00FA1667"/>
    <w:rsid w:val="00FA7343"/>
    <w:rsid w:val="00FC575C"/>
    <w:rsid w:val="00FD11F6"/>
    <w:rsid w:val="00FE1937"/>
    <w:rsid w:val="00FF53FF"/>
    <w:rsid w:val="011859BD"/>
    <w:rsid w:val="0AB60B6D"/>
    <w:rsid w:val="0D7E44D9"/>
    <w:rsid w:val="0DBA2DC4"/>
    <w:rsid w:val="11355858"/>
    <w:rsid w:val="17D56CD1"/>
    <w:rsid w:val="17E25F4D"/>
    <w:rsid w:val="18AF3B9C"/>
    <w:rsid w:val="1D3B128E"/>
    <w:rsid w:val="1F3B70CF"/>
    <w:rsid w:val="1FC46202"/>
    <w:rsid w:val="22513EF9"/>
    <w:rsid w:val="22E30338"/>
    <w:rsid w:val="234D7281"/>
    <w:rsid w:val="2549218E"/>
    <w:rsid w:val="27400EAC"/>
    <w:rsid w:val="2A7A4622"/>
    <w:rsid w:val="2B995935"/>
    <w:rsid w:val="2EE26C5F"/>
    <w:rsid w:val="2FB9217E"/>
    <w:rsid w:val="35875D97"/>
    <w:rsid w:val="38D6751E"/>
    <w:rsid w:val="3D541D46"/>
    <w:rsid w:val="40B2353F"/>
    <w:rsid w:val="40CB772C"/>
    <w:rsid w:val="40D34E52"/>
    <w:rsid w:val="41A03526"/>
    <w:rsid w:val="48926E7E"/>
    <w:rsid w:val="4E136386"/>
    <w:rsid w:val="4EAD739C"/>
    <w:rsid w:val="4EB16ADF"/>
    <w:rsid w:val="4FCE0BE1"/>
    <w:rsid w:val="502C2EA1"/>
    <w:rsid w:val="5C1C48A5"/>
    <w:rsid w:val="5D1D22B7"/>
    <w:rsid w:val="5E8318B1"/>
    <w:rsid w:val="5ED160C4"/>
    <w:rsid w:val="62BB7858"/>
    <w:rsid w:val="657D53A4"/>
    <w:rsid w:val="69715AA1"/>
    <w:rsid w:val="69BD33D6"/>
    <w:rsid w:val="69CA07F0"/>
    <w:rsid w:val="69F3627D"/>
    <w:rsid w:val="6A25086D"/>
    <w:rsid w:val="718757CE"/>
    <w:rsid w:val="721058D8"/>
    <w:rsid w:val="727715A6"/>
    <w:rsid w:val="781E5E69"/>
    <w:rsid w:val="78BB5FE2"/>
    <w:rsid w:val="791C0D12"/>
    <w:rsid w:val="795F7FBF"/>
    <w:rsid w:val="7A5E60BA"/>
    <w:rsid w:val="7AA50405"/>
    <w:rsid w:val="7BE8224B"/>
    <w:rsid w:val="7C5554AD"/>
    <w:rsid w:val="7E7527DD"/>
    <w:rsid w:val="7F62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8">
    <w:name w:val="Default Paragraph Font"/>
    <w:semiHidden/>
    <w:uiPriority w:val="99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locked/>
    <w:uiPriority w:val="99"/>
    <w:rPr>
      <w:b/>
      <w:bCs/>
    </w:rPr>
  </w:style>
  <w:style w:type="character" w:customStyle="1" w:styleId="10">
    <w:name w:val="Heading 1 Char"/>
    <w:basedOn w:val="8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Heading 2 Char"/>
    <w:basedOn w:val="8"/>
    <w:link w:val="3"/>
    <w:qFormat/>
    <w:locked/>
    <w:uiPriority w:val="99"/>
    <w:rPr>
      <w:rFonts w:ascii="Cambria" w:hAnsi="Cambria" w:eastAsia="宋体" w:cs="Cambria"/>
      <w:b/>
      <w:bCs/>
      <w:sz w:val="32"/>
      <w:szCs w:val="32"/>
    </w:rPr>
  </w:style>
  <w:style w:type="character" w:customStyle="1" w:styleId="12">
    <w:name w:val="fontstyle41"/>
    <w:basedOn w:val="8"/>
    <w:qFormat/>
    <w:uiPriority w:val="99"/>
    <w:rPr>
      <w:rFonts w:ascii="仿宋_GB2312" w:hAnsi="仿宋_GB2312" w:eastAsia="仿宋_GB2312" w:cs="仿宋_GB2312"/>
      <w:color w:val="000000"/>
      <w:sz w:val="32"/>
      <w:szCs w:val="32"/>
    </w:rPr>
  </w:style>
  <w:style w:type="character" w:customStyle="1" w:styleId="13">
    <w:name w:val="apple-converted-space"/>
    <w:basedOn w:val="8"/>
    <w:qFormat/>
    <w:uiPriority w:val="99"/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CHINA</Company>
  <Pages>7</Pages>
  <Words>4884</Words>
  <Characters>4904</Characters>
  <Lines>0</Lines>
  <Paragraphs>0</Paragraphs>
  <TotalTime>6</TotalTime>
  <ScaleCrop>false</ScaleCrop>
  <LinksUpToDate>false</LinksUpToDate>
  <CharactersWithSpaces>4916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2018-07-12T05:52:00Z</dcterms:created>
  <dc:creator>杨瑞展</dc:creator>
  <cp:lastModifiedBy>Administrator</cp:lastModifiedBy>
  <cp:lastPrinted>2024-03-20T01:41:54Z</cp:lastPrinted>
  <dcterms:modified xsi:type="dcterms:W3CDTF">2024-03-20T01:41:57Z</dcterms:modified>
  <dc:title>环境保护管理规定</dc:title>
  <cp:revision>102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333B3776518B4C44BF2BEE4C97FD322D</vt:lpwstr>
  </property>
</Properties>
</file>