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tabs>
          <w:tab w:val="left" w:pos="420"/>
        </w:tabs>
        <w:jc w:val="center"/>
        <w:rPr>
          <w:b w:val="0"/>
          <w:bCs w:val="0"/>
          <w:sz w:val="44"/>
          <w:szCs w:val="44"/>
          <w:highlight w:val="none"/>
        </w:rPr>
      </w:pPr>
      <w:bookmarkStart w:id="2" w:name="_GoBack"/>
      <w:bookmarkStart w:id="0" w:name="_Toc29384"/>
      <w:r>
        <w:rPr>
          <w:rFonts w:hint="eastAsia" w:ascii="黑体" w:hAnsi="黑体" w:eastAsia="黑体" w:cs="黑体"/>
          <w:b w:val="0"/>
          <w:bCs w:val="0"/>
          <w:sz w:val="44"/>
          <w:szCs w:val="44"/>
          <w:highlight w:val="none"/>
          <w:lang w:val="en-US" w:eastAsia="zh-CN"/>
        </w:rPr>
        <w:t>环境监测服务</w:t>
      </w:r>
      <w:r>
        <w:rPr>
          <w:rFonts w:hint="eastAsia" w:ascii="黑体" w:hAnsi="黑体" w:eastAsia="黑体" w:cs="黑体"/>
          <w:b w:val="0"/>
          <w:bCs w:val="0"/>
          <w:sz w:val="44"/>
          <w:szCs w:val="44"/>
          <w:highlight w:val="none"/>
        </w:rPr>
        <w:t>要求</w:t>
      </w:r>
      <w:bookmarkEnd w:id="2"/>
      <w:bookmarkEnd w:id="0"/>
    </w:p>
    <w:p>
      <w:pPr>
        <w:pStyle w:val="5"/>
        <w:spacing w:line="240" w:lineRule="auto"/>
        <w:jc w:val="left"/>
        <w:rPr>
          <w:rFonts w:hint="default"/>
          <w:sz w:val="24"/>
          <w:highlight w:val="none"/>
          <w:lang w:val="en-US" w:eastAsia="zh-CN"/>
        </w:rPr>
      </w:pPr>
      <w:r>
        <w:rPr>
          <w:rFonts w:hint="eastAsia" w:ascii="Arial" w:hAnsi="Arial" w:cs="Times New Roman"/>
          <w:b w:val="0"/>
          <w:bCs/>
          <w:highlight w:val="none"/>
          <w:lang w:val="en-US" w:eastAsia="zh-CN"/>
        </w:rPr>
        <w:t>一、服务要求：</w:t>
      </w:r>
    </w:p>
    <w:p>
      <w:pPr>
        <w:keepNext w:val="0"/>
        <w:keepLines w:val="0"/>
        <w:pageBreakBefore w:val="0"/>
        <w:widowControl w:val="0"/>
        <w:kinsoku/>
        <w:wordWrap/>
        <w:overflowPunct/>
        <w:topLinePunct w:val="0"/>
        <w:autoSpaceDE/>
        <w:autoSpaceDN/>
        <w:bidi w:val="0"/>
        <w:spacing w:line="480" w:lineRule="exact"/>
        <w:ind w:left="480" w:hanging="480" w:hangingChars="200"/>
        <w:textAlignment w:val="auto"/>
        <w:rPr>
          <w:rFonts w:hint="eastAsia" w:ascii="Times New Roman" w:hAnsi="Times New Roman" w:eastAsia="宋体" w:cs="Times New Roman"/>
          <w:kern w:val="2"/>
          <w:sz w:val="24"/>
          <w:szCs w:val="24"/>
          <w:highlight w:val="none"/>
          <w:lang w:val="en-US" w:eastAsia="zh-CN" w:bidi="ar-SA"/>
        </w:rPr>
      </w:pPr>
      <w:r>
        <w:rPr>
          <w:rFonts w:hint="eastAsia" w:ascii="Times New Roman" w:hAnsi="Times New Roman" w:eastAsia="宋体" w:cs="Times New Roman"/>
          <w:kern w:val="2"/>
          <w:sz w:val="24"/>
          <w:szCs w:val="24"/>
          <w:highlight w:val="none"/>
          <w:lang w:val="en-US" w:eastAsia="zh-CN" w:bidi="ar-SA"/>
        </w:rPr>
        <w:t>1.完成甲方排污许可变更工作（重点管理）。</w:t>
      </w:r>
    </w:p>
    <w:p>
      <w:pPr>
        <w:keepNext w:val="0"/>
        <w:keepLines w:val="0"/>
        <w:pageBreakBefore w:val="0"/>
        <w:widowControl w:val="0"/>
        <w:kinsoku/>
        <w:wordWrap/>
        <w:overflowPunct/>
        <w:topLinePunct w:val="0"/>
        <w:autoSpaceDE/>
        <w:autoSpaceDN/>
        <w:bidi w:val="0"/>
        <w:adjustRightInd w:val="0"/>
        <w:snapToGrid w:val="0"/>
        <w:spacing w:line="480" w:lineRule="exact"/>
        <w:ind w:left="840" w:hanging="840" w:hangingChars="350"/>
        <w:textAlignment w:val="auto"/>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2.完成甲方排污许可季度、年度执行报告填报。</w:t>
      </w:r>
    </w:p>
    <w:p>
      <w:pPr>
        <w:keepNext w:val="0"/>
        <w:keepLines w:val="0"/>
        <w:pageBreakBefore w:val="0"/>
        <w:widowControl w:val="0"/>
        <w:kinsoku/>
        <w:wordWrap/>
        <w:overflowPunct/>
        <w:topLinePunct w:val="0"/>
        <w:autoSpaceDE/>
        <w:autoSpaceDN/>
        <w:bidi w:val="0"/>
        <w:spacing w:line="480" w:lineRule="exact"/>
        <w:jc w:val="left"/>
        <w:textAlignment w:val="auto"/>
        <w:rPr>
          <w:rFonts w:hint="eastAsia"/>
          <w:sz w:val="24"/>
          <w:highlight w:val="none"/>
          <w:lang w:val="en-US" w:eastAsia="zh-CN"/>
        </w:rPr>
      </w:pPr>
      <w:r>
        <w:rPr>
          <w:rFonts w:hint="eastAsia"/>
          <w:sz w:val="24"/>
          <w:highlight w:val="none"/>
          <w:lang w:val="en-US" w:eastAsia="zh-CN"/>
        </w:rPr>
        <w:t>3.监测内容包含烟气流速、烟气温度,烟气含湿量、含氧量等法律法规和排污许可要求的内容。</w:t>
      </w:r>
    </w:p>
    <w:p>
      <w:pPr>
        <w:keepNext w:val="0"/>
        <w:keepLines w:val="0"/>
        <w:pageBreakBefore w:val="0"/>
        <w:widowControl w:val="0"/>
        <w:kinsoku/>
        <w:wordWrap/>
        <w:overflowPunct/>
        <w:topLinePunct w:val="0"/>
        <w:autoSpaceDE/>
        <w:autoSpaceDN/>
        <w:bidi w:val="0"/>
        <w:adjustRightInd w:val="0"/>
        <w:snapToGrid w:val="0"/>
        <w:spacing w:line="480" w:lineRule="exact"/>
        <w:ind w:left="840" w:hanging="840" w:hangingChars="350"/>
        <w:textAlignment w:val="auto"/>
        <w:rPr>
          <w:rFonts w:hint="eastAsia"/>
          <w:sz w:val="24"/>
          <w:highlight w:val="none"/>
        </w:rPr>
      </w:pPr>
      <w:r>
        <w:rPr>
          <w:rFonts w:hint="eastAsia" w:ascii="Arial" w:hAnsi="Arial"/>
          <w:sz w:val="24"/>
          <w:highlight w:val="none"/>
          <w:lang w:val="en-US" w:eastAsia="zh-CN"/>
        </w:rPr>
        <w:t>4.</w:t>
      </w:r>
      <w:r>
        <w:rPr>
          <w:rFonts w:hint="eastAsia" w:ascii="Arial" w:hAnsi="Arial"/>
          <w:sz w:val="24"/>
          <w:highlight w:val="none"/>
        </w:rPr>
        <w:t>报告编写</w:t>
      </w:r>
      <w:r>
        <w:rPr>
          <w:rFonts w:hint="eastAsia" w:ascii="宋体" w:hAnsi="宋体"/>
          <w:sz w:val="24"/>
          <w:highlight w:val="none"/>
        </w:rPr>
        <w:t>规范正确、清晰，</w:t>
      </w:r>
      <w:r>
        <w:rPr>
          <w:rFonts w:hint="eastAsia" w:ascii="Arial" w:hAnsi="Arial"/>
          <w:sz w:val="24"/>
          <w:highlight w:val="none"/>
        </w:rPr>
        <w:t>符合国家相关标准，</w:t>
      </w:r>
      <w:r>
        <w:rPr>
          <w:rFonts w:hint="eastAsia" w:ascii="宋体" w:hAnsi="宋体"/>
          <w:sz w:val="24"/>
          <w:highlight w:val="none"/>
        </w:rPr>
        <w:t>保障数据的真实、完整性。</w:t>
      </w:r>
    </w:p>
    <w:p>
      <w:pPr>
        <w:pStyle w:val="3"/>
        <w:keepNext w:val="0"/>
        <w:keepLines w:val="0"/>
        <w:pageBreakBefore w:val="0"/>
        <w:widowControl w:val="0"/>
        <w:kinsoku/>
        <w:wordWrap/>
        <w:overflowPunct/>
        <w:topLinePunct w:val="0"/>
        <w:autoSpaceDE/>
        <w:autoSpaceDN/>
        <w:bidi w:val="0"/>
        <w:spacing w:line="480" w:lineRule="exact"/>
        <w:textAlignment w:val="auto"/>
        <w:rPr>
          <w:rFonts w:hint="eastAsia"/>
          <w:highlight w:val="none"/>
        </w:rPr>
      </w:pPr>
      <w:r>
        <w:rPr>
          <w:rFonts w:hint="eastAsia"/>
          <w:highlight w:val="none"/>
          <w:lang w:val="en-US" w:eastAsia="zh-CN"/>
        </w:rPr>
        <w:t>5.</w:t>
      </w:r>
      <w:r>
        <w:rPr>
          <w:rFonts w:hint="eastAsia"/>
          <w:highlight w:val="none"/>
        </w:rPr>
        <w:t>在合同期内，中标单位不得将项目分包或整体转包给任何单位和个人。否则，竞标单位有权即刻终止合同，并要求中标方赔偿所有相应损失。</w:t>
      </w:r>
    </w:p>
    <w:p>
      <w:pPr>
        <w:pStyle w:val="3"/>
        <w:keepNext w:val="0"/>
        <w:keepLines w:val="0"/>
        <w:pageBreakBefore w:val="0"/>
        <w:widowControl w:val="0"/>
        <w:kinsoku/>
        <w:wordWrap/>
        <w:overflowPunct/>
        <w:topLinePunct w:val="0"/>
        <w:autoSpaceDE/>
        <w:autoSpaceDN/>
        <w:bidi w:val="0"/>
        <w:spacing w:line="480" w:lineRule="exact"/>
        <w:textAlignment w:val="auto"/>
        <w:rPr>
          <w:highlight w:val="none"/>
        </w:rPr>
      </w:pPr>
      <w:r>
        <w:rPr>
          <w:rFonts w:hint="eastAsia"/>
          <w:highlight w:val="none"/>
          <w:lang w:val="en-US" w:eastAsia="zh-CN"/>
        </w:rPr>
        <w:t>6.</w:t>
      </w:r>
      <w:r>
        <w:rPr>
          <w:rFonts w:hint="eastAsia"/>
          <w:highlight w:val="none"/>
        </w:rPr>
        <w:t>中标单位能严格履行职责，切实做好项目的管理工作。操作人员必须各尽其职，保证符合各项工作质量要求。</w:t>
      </w:r>
    </w:p>
    <w:p>
      <w:pPr>
        <w:pStyle w:val="3"/>
        <w:keepNext w:val="0"/>
        <w:keepLines w:val="0"/>
        <w:pageBreakBefore w:val="0"/>
        <w:widowControl w:val="0"/>
        <w:kinsoku/>
        <w:wordWrap/>
        <w:overflowPunct/>
        <w:topLinePunct w:val="0"/>
        <w:autoSpaceDE/>
        <w:autoSpaceDN/>
        <w:bidi w:val="0"/>
        <w:spacing w:line="480" w:lineRule="exact"/>
        <w:textAlignment w:val="auto"/>
        <w:rPr>
          <w:highlight w:val="none"/>
        </w:rPr>
      </w:pPr>
      <w:r>
        <w:rPr>
          <w:rFonts w:hint="eastAsia"/>
          <w:sz w:val="24"/>
          <w:highlight w:val="none"/>
          <w:lang w:val="en-US" w:eastAsia="zh-CN"/>
        </w:rPr>
        <w:t>7.</w:t>
      </w:r>
      <w:r>
        <w:rPr>
          <w:rFonts w:hint="eastAsia"/>
          <w:sz w:val="24"/>
          <w:highlight w:val="none"/>
        </w:rPr>
        <w:t>根据环保工作要求、国家相关标准进行水、气等的取样、分析工作，具体见下表。</w:t>
      </w:r>
    </w:p>
    <w:tbl>
      <w:tblPr>
        <w:tblStyle w:val="7"/>
        <w:tblpPr w:leftFromText="180" w:rightFromText="180" w:vertAnchor="text" w:horzAnchor="page" w:tblpX="1588" w:tblpY="428"/>
        <w:tblOverlap w:val="never"/>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89"/>
        <w:gridCol w:w="2005"/>
        <w:gridCol w:w="2891"/>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监测类别</w:t>
            </w: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监测项目</w:t>
            </w:r>
          </w:p>
        </w:tc>
        <w:tc>
          <w:tcPr>
            <w:tcW w:w="2005"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排放方式</w:t>
            </w:r>
          </w:p>
        </w:tc>
        <w:tc>
          <w:tcPr>
            <w:tcW w:w="2891"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采样要求</w:t>
            </w:r>
          </w:p>
        </w:tc>
        <w:tc>
          <w:tcPr>
            <w:tcW w:w="1186"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eastAsia="宋体"/>
                <w:b/>
                <w:bCs/>
                <w:sz w:val="18"/>
                <w:szCs w:val="18"/>
                <w:highlight w:val="none"/>
                <w:lang w:val="en-US" w:eastAsia="zh-CN"/>
              </w:rPr>
              <w:t>预估点位数量（个）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restart"/>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废气</w:t>
            </w:r>
          </w:p>
        </w:tc>
        <w:tc>
          <w:tcPr>
            <w:tcW w:w="1989" w:type="dxa"/>
            <w:noWrap w:val="0"/>
            <w:vAlign w:val="center"/>
          </w:tcPr>
          <w:p>
            <w:pPr>
              <w:spacing w:line="480" w:lineRule="exact"/>
              <w:jc w:val="center"/>
              <w:rPr>
                <w:rFonts w:hint="eastAsia" w:ascii="宋体" w:hAnsi="宋体" w:eastAsia="宋体"/>
                <w:sz w:val="18"/>
                <w:szCs w:val="18"/>
                <w:highlight w:val="none"/>
                <w:lang w:eastAsia="zh-CN"/>
              </w:rPr>
            </w:pPr>
            <w:r>
              <w:rPr>
                <w:rFonts w:hint="eastAsia" w:ascii="宋体" w:hAnsi="宋体"/>
                <w:sz w:val="18"/>
                <w:szCs w:val="18"/>
                <w:highlight w:val="none"/>
              </w:rPr>
              <w:t>颗粒物</w:t>
            </w:r>
            <w:r>
              <w:rPr>
                <w:rFonts w:hint="eastAsia" w:ascii="宋体" w:hAnsi="宋体"/>
                <w:sz w:val="18"/>
                <w:szCs w:val="18"/>
                <w:highlight w:val="none"/>
                <w:lang w:eastAsia="zh-CN"/>
              </w:rPr>
              <w:t>（</w:t>
            </w:r>
            <w:r>
              <w:rPr>
                <w:rFonts w:hint="eastAsia" w:ascii="宋体" w:hAnsi="宋体"/>
                <w:sz w:val="18"/>
                <w:szCs w:val="18"/>
                <w:highlight w:val="none"/>
                <w:lang w:val="en-US" w:eastAsia="zh-CN"/>
              </w:rPr>
              <w:t>漆雾</w:t>
            </w:r>
            <w:r>
              <w:rPr>
                <w:rFonts w:hint="eastAsia" w:ascii="宋体" w:hAnsi="宋体"/>
                <w:sz w:val="18"/>
                <w:szCs w:val="18"/>
                <w:highlight w:val="none"/>
                <w:lang w:eastAsia="zh-CN"/>
              </w:rPr>
              <w:t>）</w:t>
            </w:r>
          </w:p>
        </w:tc>
        <w:tc>
          <w:tcPr>
            <w:tcW w:w="2005" w:type="dxa"/>
            <w:vMerge w:val="restart"/>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有组织排放</w:t>
            </w:r>
          </w:p>
        </w:tc>
        <w:tc>
          <w:tcPr>
            <w:tcW w:w="2891" w:type="dxa"/>
            <w:noWrap w:val="0"/>
            <w:vAlign w:val="center"/>
          </w:tcPr>
          <w:p>
            <w:pPr>
              <w:spacing w:line="48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连续采样</w:t>
            </w:r>
          </w:p>
        </w:tc>
        <w:tc>
          <w:tcPr>
            <w:tcW w:w="1186"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TRVOC</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sz w:val="18"/>
                <w:szCs w:val="18"/>
                <w:highlight w:val="none"/>
                <w:lang w:val="en-US" w:eastAsia="zh-CN"/>
              </w:rPr>
            </w:pPr>
            <w:r>
              <w:rPr>
                <w:rFonts w:hint="eastAsia" w:ascii="宋体" w:hAnsi="宋体" w:eastAsia="宋体"/>
                <w:sz w:val="18"/>
                <w:szCs w:val="18"/>
                <w:highlight w:val="none"/>
              </w:rPr>
              <w:t>非连续采样至少</w:t>
            </w:r>
            <w:r>
              <w:rPr>
                <w:rFonts w:hint="default" w:ascii="宋体" w:hAnsi="宋体" w:eastAsia="宋体"/>
                <w:sz w:val="18"/>
                <w:szCs w:val="18"/>
                <w:highlight w:val="none"/>
              </w:rPr>
              <w:t>3</w:t>
            </w:r>
            <w:r>
              <w:rPr>
                <w:rFonts w:hint="eastAsia" w:ascii="宋体" w:hAnsi="宋体" w:eastAsia="宋体"/>
                <w:sz w:val="18"/>
                <w:szCs w:val="18"/>
                <w:highlight w:val="none"/>
              </w:rPr>
              <w:t>个</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非甲烷总烃</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sz w:val="18"/>
                <w:szCs w:val="18"/>
                <w:highlight w:val="none"/>
              </w:rPr>
            </w:pPr>
            <w:r>
              <w:rPr>
                <w:rFonts w:hint="eastAsia" w:ascii="宋体" w:hAnsi="宋体" w:eastAsia="宋体"/>
                <w:sz w:val="18"/>
                <w:szCs w:val="18"/>
                <w:highlight w:val="none"/>
              </w:rPr>
              <w:t>非连续采样至少</w:t>
            </w:r>
            <w:r>
              <w:rPr>
                <w:rFonts w:hint="default" w:ascii="宋体" w:hAnsi="宋体" w:eastAsia="宋体"/>
                <w:sz w:val="18"/>
                <w:szCs w:val="18"/>
                <w:highlight w:val="none"/>
              </w:rPr>
              <w:t>3</w:t>
            </w:r>
            <w:r>
              <w:rPr>
                <w:rFonts w:hint="eastAsia" w:ascii="宋体" w:hAnsi="宋体" w:eastAsia="宋体"/>
                <w:sz w:val="18"/>
                <w:szCs w:val="18"/>
                <w:highlight w:val="none"/>
              </w:rPr>
              <w:t>个</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臭气浓度</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按相关采样标准采样</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SO</w:t>
            </w:r>
            <w:r>
              <w:rPr>
                <w:rFonts w:hint="eastAsia" w:ascii="宋体" w:hAnsi="宋体"/>
                <w:sz w:val="18"/>
                <w:szCs w:val="18"/>
                <w:highlight w:val="none"/>
                <w:vertAlign w:val="subscript"/>
              </w:rPr>
              <w:t>2</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sz w:val="18"/>
                <w:szCs w:val="18"/>
                <w:highlight w:val="none"/>
                <w:lang w:val="en-US" w:eastAsia="zh-CN"/>
              </w:rPr>
            </w:pPr>
            <w:r>
              <w:rPr>
                <w:rFonts w:hint="eastAsia" w:ascii="宋体" w:hAnsi="宋体" w:eastAsia="宋体"/>
                <w:sz w:val="18"/>
                <w:szCs w:val="18"/>
                <w:highlight w:val="none"/>
              </w:rPr>
              <w:t>非连续采样至少</w:t>
            </w:r>
            <w:r>
              <w:rPr>
                <w:rFonts w:hint="default" w:ascii="宋体" w:hAnsi="宋体" w:eastAsia="宋体"/>
                <w:sz w:val="18"/>
                <w:szCs w:val="18"/>
                <w:highlight w:val="none"/>
              </w:rPr>
              <w:t>3</w:t>
            </w:r>
            <w:r>
              <w:rPr>
                <w:rFonts w:hint="eastAsia" w:ascii="宋体" w:hAnsi="宋体" w:eastAsia="宋体"/>
                <w:sz w:val="18"/>
                <w:szCs w:val="18"/>
                <w:highlight w:val="none"/>
              </w:rPr>
              <w:t>个</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NO</w:t>
            </w:r>
            <w:r>
              <w:rPr>
                <w:rFonts w:hint="eastAsia" w:ascii="宋体" w:hAnsi="宋体"/>
                <w:sz w:val="18"/>
                <w:szCs w:val="18"/>
                <w:highlight w:val="none"/>
                <w:vertAlign w:val="subscript"/>
              </w:rPr>
              <w:t>x</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sz w:val="18"/>
                <w:szCs w:val="18"/>
                <w:highlight w:val="none"/>
                <w:lang w:val="en-US" w:eastAsia="zh-CN"/>
              </w:rPr>
            </w:pPr>
            <w:r>
              <w:rPr>
                <w:rFonts w:hint="eastAsia" w:ascii="宋体" w:hAnsi="宋体" w:eastAsia="宋体"/>
                <w:sz w:val="18"/>
                <w:szCs w:val="18"/>
                <w:highlight w:val="none"/>
              </w:rPr>
              <w:t>非连续采样至少</w:t>
            </w:r>
            <w:r>
              <w:rPr>
                <w:rFonts w:hint="default" w:ascii="宋体" w:hAnsi="宋体" w:eastAsia="宋体"/>
                <w:sz w:val="18"/>
                <w:szCs w:val="18"/>
                <w:highlight w:val="none"/>
              </w:rPr>
              <w:t>3</w:t>
            </w:r>
            <w:r>
              <w:rPr>
                <w:rFonts w:hint="eastAsia" w:ascii="宋体" w:hAnsi="宋体" w:eastAsia="宋体"/>
                <w:sz w:val="18"/>
                <w:szCs w:val="18"/>
                <w:highlight w:val="none"/>
              </w:rPr>
              <w:t>个</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烟尘</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连续采样</w:t>
            </w:r>
          </w:p>
        </w:tc>
        <w:tc>
          <w:tcPr>
            <w:tcW w:w="1186"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林格曼黑度</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sz w:val="18"/>
                <w:szCs w:val="18"/>
                <w:highlight w:val="none"/>
                <w:lang w:val="en-US" w:eastAsia="zh-CN"/>
              </w:rPr>
            </w:pPr>
            <w:r>
              <w:rPr>
                <w:rFonts w:hint="eastAsia" w:ascii="宋体" w:hAnsi="宋体" w:eastAsia="宋体"/>
                <w:sz w:val="18"/>
                <w:szCs w:val="18"/>
                <w:highlight w:val="none"/>
              </w:rPr>
              <w:t>非连续采样至少</w:t>
            </w:r>
            <w:r>
              <w:rPr>
                <w:rFonts w:hint="default" w:ascii="宋体" w:hAnsi="宋体" w:eastAsia="宋体"/>
                <w:sz w:val="18"/>
                <w:szCs w:val="18"/>
                <w:highlight w:val="none"/>
              </w:rPr>
              <w:t>3</w:t>
            </w:r>
            <w:r>
              <w:rPr>
                <w:rFonts w:hint="eastAsia" w:ascii="宋体" w:hAnsi="宋体" w:eastAsia="宋体"/>
                <w:sz w:val="18"/>
                <w:szCs w:val="18"/>
                <w:highlight w:val="none"/>
              </w:rPr>
              <w:t>个</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vMerge w:val="restart"/>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lang w:eastAsia="zh-CN"/>
              </w:rPr>
              <w:t>非甲烷总烃</w:t>
            </w:r>
          </w:p>
        </w:tc>
        <w:tc>
          <w:tcPr>
            <w:tcW w:w="2005" w:type="dxa"/>
            <w:vMerge w:val="restart"/>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门窗处</w:t>
            </w:r>
          </w:p>
        </w:tc>
        <w:tc>
          <w:tcPr>
            <w:tcW w:w="2891" w:type="dxa"/>
            <w:noWrap w:val="0"/>
            <w:vAlign w:val="center"/>
          </w:tcPr>
          <w:p>
            <w:pPr>
              <w:spacing w:line="480" w:lineRule="exact"/>
              <w:jc w:val="center"/>
              <w:rPr>
                <w:rFonts w:hint="eastAsia" w:ascii="宋体" w:hAnsi="宋体"/>
                <w:kern w:val="2"/>
                <w:sz w:val="18"/>
                <w:szCs w:val="18"/>
                <w:highlight w:val="none"/>
                <w:lang w:val="en-US" w:eastAsia="zh-CN" w:bidi="ar-SA"/>
              </w:rPr>
            </w:pPr>
            <w:r>
              <w:rPr>
                <w:rFonts w:hint="eastAsia" w:ascii="宋体" w:hAnsi="宋体"/>
                <w:sz w:val="18"/>
                <w:szCs w:val="18"/>
                <w:highlight w:val="none"/>
                <w:lang w:val="en-US" w:eastAsia="zh-CN"/>
              </w:rPr>
              <w:t>监控点处任意一次浓度值</w:t>
            </w:r>
          </w:p>
        </w:tc>
        <w:tc>
          <w:tcPr>
            <w:tcW w:w="1186"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vMerge w:val="continue"/>
            <w:noWrap w:val="0"/>
            <w:vAlign w:val="center"/>
          </w:tcPr>
          <w:p>
            <w:pPr>
              <w:spacing w:line="480" w:lineRule="exact"/>
              <w:jc w:val="center"/>
              <w:rPr>
                <w:rFonts w:hint="eastAsia" w:ascii="宋体" w:hAnsi="宋体"/>
                <w:sz w:val="18"/>
                <w:szCs w:val="18"/>
                <w:highlight w:val="none"/>
              </w:rPr>
            </w:pP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kern w:val="2"/>
                <w:sz w:val="18"/>
                <w:szCs w:val="18"/>
                <w:highlight w:val="none"/>
                <w:lang w:val="en-US" w:eastAsia="zh-CN" w:bidi="ar-SA"/>
              </w:rPr>
            </w:pPr>
            <w:r>
              <w:rPr>
                <w:rFonts w:hint="eastAsia" w:ascii="宋体" w:hAnsi="宋体"/>
                <w:sz w:val="18"/>
                <w:szCs w:val="18"/>
                <w:highlight w:val="none"/>
                <w:lang w:val="en-US" w:eastAsia="zh-CN"/>
              </w:rPr>
              <w:t>厂房外监控点处1h平均浓度值</w:t>
            </w:r>
          </w:p>
        </w:tc>
        <w:tc>
          <w:tcPr>
            <w:tcW w:w="1186"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eastAsia="宋体"/>
                <w:sz w:val="18"/>
                <w:szCs w:val="18"/>
                <w:highlight w:val="none"/>
                <w:lang w:val="en-US" w:eastAsia="zh-CN"/>
              </w:rPr>
            </w:pPr>
          </w:p>
        </w:tc>
        <w:tc>
          <w:tcPr>
            <w:tcW w:w="1989" w:type="dxa"/>
            <w:noWrap w:val="0"/>
            <w:vAlign w:val="center"/>
          </w:tcPr>
          <w:p>
            <w:pPr>
              <w:spacing w:line="480" w:lineRule="exact"/>
              <w:jc w:val="center"/>
              <w:rPr>
                <w:rFonts w:hint="eastAsia" w:ascii="宋体" w:hAnsi="宋体" w:eastAsia="宋体" w:cs="Times New Roman"/>
                <w:sz w:val="18"/>
                <w:szCs w:val="18"/>
                <w:highlight w:val="none"/>
                <w:lang w:eastAsia="zh-CN"/>
              </w:rPr>
            </w:pPr>
            <w:r>
              <w:rPr>
                <w:rFonts w:hint="eastAsia" w:ascii="宋体" w:hAnsi="宋体" w:eastAsia="宋体" w:cs="Times New Roman"/>
                <w:sz w:val="18"/>
                <w:szCs w:val="18"/>
                <w:highlight w:val="none"/>
                <w:lang w:eastAsia="zh-CN"/>
              </w:rPr>
              <w:t>非甲烷总烃</w:t>
            </w:r>
          </w:p>
        </w:tc>
        <w:tc>
          <w:tcPr>
            <w:tcW w:w="2005" w:type="dxa"/>
            <w:vMerge w:val="restart"/>
            <w:noWrap w:val="0"/>
            <w:vAlign w:val="center"/>
          </w:tcPr>
          <w:p>
            <w:pPr>
              <w:spacing w:line="480" w:lineRule="exact"/>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厂界</w:t>
            </w:r>
          </w:p>
        </w:tc>
        <w:tc>
          <w:tcPr>
            <w:tcW w:w="2891" w:type="dxa"/>
            <w:noWrap w:val="0"/>
            <w:vAlign w:val="center"/>
          </w:tcPr>
          <w:p>
            <w:pPr>
              <w:spacing w:line="480" w:lineRule="exact"/>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eastAsia="zh-CN"/>
              </w:rPr>
              <w:t>非连续采样至少</w:t>
            </w:r>
            <w:r>
              <w:rPr>
                <w:rFonts w:hint="default" w:ascii="宋体" w:hAnsi="宋体" w:eastAsia="宋体" w:cs="Times New Roman"/>
                <w:sz w:val="18"/>
                <w:szCs w:val="18"/>
                <w:highlight w:val="none"/>
                <w:lang w:eastAsia="zh-CN"/>
              </w:rPr>
              <w:t>3</w:t>
            </w:r>
            <w:r>
              <w:rPr>
                <w:rFonts w:hint="eastAsia" w:ascii="宋体" w:hAnsi="宋体" w:eastAsia="宋体" w:cs="Times New Roman"/>
                <w:sz w:val="18"/>
                <w:szCs w:val="18"/>
                <w:highlight w:val="none"/>
                <w:lang w:eastAsia="zh-CN"/>
              </w:rPr>
              <w:t>个</w:t>
            </w:r>
          </w:p>
        </w:tc>
        <w:tc>
          <w:tcPr>
            <w:tcW w:w="1186" w:type="dxa"/>
            <w:noWrap w:val="0"/>
            <w:vAlign w:val="center"/>
          </w:tcPr>
          <w:p>
            <w:pPr>
              <w:spacing w:line="480" w:lineRule="exact"/>
              <w:jc w:val="center"/>
              <w:rPr>
                <w:rFonts w:hint="default" w:ascii="宋体" w:hAnsi="宋体" w:eastAsia="宋体" w:cs="Times New Roman"/>
                <w:sz w:val="18"/>
                <w:szCs w:val="18"/>
                <w:highlight w:val="none"/>
                <w:lang w:val="en-US" w:eastAsia="zh-CN"/>
              </w:rPr>
            </w:pPr>
            <w:r>
              <w:rPr>
                <w:rFonts w:hint="eastAsia" w:ascii="宋体" w:hAnsi="宋体" w:eastAsia="宋体" w:cs="Times New Roman"/>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lang w:val="en-US" w:eastAsia="zh-CN"/>
              </w:rPr>
            </w:pPr>
          </w:p>
        </w:tc>
        <w:tc>
          <w:tcPr>
            <w:tcW w:w="1989" w:type="dxa"/>
            <w:noWrap w:val="0"/>
            <w:vAlign w:val="center"/>
          </w:tcPr>
          <w:p>
            <w:pPr>
              <w:spacing w:line="480" w:lineRule="exact"/>
              <w:jc w:val="center"/>
              <w:rPr>
                <w:rFonts w:hint="eastAsia" w:ascii="宋体" w:hAnsi="宋体"/>
                <w:sz w:val="18"/>
                <w:szCs w:val="18"/>
                <w:highlight w:val="none"/>
                <w:lang w:eastAsia="zh-CN"/>
              </w:rPr>
            </w:pPr>
            <w:r>
              <w:rPr>
                <w:rFonts w:hint="eastAsia" w:ascii="宋体" w:hAnsi="宋体"/>
                <w:sz w:val="18"/>
                <w:szCs w:val="18"/>
                <w:highlight w:val="none"/>
              </w:rPr>
              <w:t>颗粒物</w:t>
            </w:r>
          </w:p>
        </w:tc>
        <w:tc>
          <w:tcPr>
            <w:tcW w:w="2005" w:type="dxa"/>
            <w:vMerge w:val="continue"/>
            <w:noWrap w:val="0"/>
            <w:vAlign w:val="center"/>
          </w:tcPr>
          <w:p>
            <w:pPr>
              <w:spacing w:line="480" w:lineRule="exact"/>
              <w:jc w:val="center"/>
              <w:rPr>
                <w:rFonts w:hint="eastAsia" w:ascii="宋体" w:hAnsi="宋体"/>
                <w:sz w:val="18"/>
                <w:szCs w:val="18"/>
                <w:highlight w:val="none"/>
                <w:lang w:val="en-US" w:eastAsia="zh-CN"/>
              </w:rPr>
            </w:pPr>
          </w:p>
        </w:tc>
        <w:tc>
          <w:tcPr>
            <w:tcW w:w="2891" w:type="dxa"/>
            <w:noWrap w:val="0"/>
            <w:vAlign w:val="center"/>
          </w:tcPr>
          <w:p>
            <w:pPr>
              <w:spacing w:line="480" w:lineRule="exact"/>
              <w:jc w:val="center"/>
              <w:rPr>
                <w:rFonts w:hint="eastAsia" w:ascii="宋体" w:hAnsi="宋体"/>
                <w:kern w:val="2"/>
                <w:sz w:val="18"/>
                <w:szCs w:val="18"/>
                <w:highlight w:val="none"/>
                <w:lang w:val="en-US" w:eastAsia="zh-CN" w:bidi="ar-SA"/>
              </w:rPr>
            </w:pPr>
            <w:r>
              <w:rPr>
                <w:rFonts w:hint="eastAsia" w:ascii="宋体" w:hAnsi="宋体"/>
                <w:sz w:val="18"/>
                <w:szCs w:val="18"/>
                <w:highlight w:val="none"/>
                <w:lang w:val="en-US" w:eastAsia="zh-CN"/>
              </w:rPr>
              <w:t>连续采样</w:t>
            </w:r>
          </w:p>
        </w:tc>
        <w:tc>
          <w:tcPr>
            <w:tcW w:w="1186"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lang w:val="en-US" w:eastAsia="zh-CN"/>
              </w:rPr>
            </w:pPr>
          </w:p>
        </w:tc>
        <w:tc>
          <w:tcPr>
            <w:tcW w:w="1989"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 xml:space="preserve">臭气浓度 </w:t>
            </w:r>
          </w:p>
        </w:tc>
        <w:tc>
          <w:tcPr>
            <w:tcW w:w="2005" w:type="dxa"/>
            <w:vMerge w:val="continue"/>
            <w:noWrap w:val="0"/>
            <w:vAlign w:val="center"/>
          </w:tcPr>
          <w:p>
            <w:pPr>
              <w:spacing w:line="480" w:lineRule="exact"/>
              <w:jc w:val="center"/>
              <w:rPr>
                <w:rFonts w:hint="eastAsia" w:ascii="宋体" w:hAnsi="宋体"/>
                <w:sz w:val="18"/>
                <w:szCs w:val="18"/>
                <w:highlight w:val="none"/>
                <w:lang w:val="en-US" w:eastAsia="zh-CN"/>
              </w:rPr>
            </w:pPr>
          </w:p>
        </w:tc>
        <w:tc>
          <w:tcPr>
            <w:tcW w:w="2891" w:type="dxa"/>
            <w:noWrap w:val="0"/>
            <w:vAlign w:val="center"/>
          </w:tcPr>
          <w:p>
            <w:pPr>
              <w:spacing w:line="480" w:lineRule="exact"/>
              <w:jc w:val="center"/>
              <w:rPr>
                <w:rFonts w:hint="eastAsia" w:ascii="宋体" w:hAnsi="宋体"/>
                <w:kern w:val="2"/>
                <w:sz w:val="18"/>
                <w:szCs w:val="18"/>
                <w:highlight w:val="none"/>
                <w:lang w:val="en-US" w:eastAsia="zh-CN" w:bidi="ar-SA"/>
              </w:rPr>
            </w:pPr>
            <w:r>
              <w:rPr>
                <w:rFonts w:hint="eastAsia" w:ascii="宋体" w:hAnsi="宋体" w:eastAsia="宋体"/>
                <w:sz w:val="18"/>
                <w:szCs w:val="18"/>
                <w:highlight w:val="none"/>
                <w:lang w:val="en-US" w:eastAsia="zh-CN"/>
              </w:rPr>
              <w:t>按相关采样标准采样</w:t>
            </w:r>
          </w:p>
        </w:tc>
        <w:tc>
          <w:tcPr>
            <w:tcW w:w="1186"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kern w:val="2"/>
                <w:sz w:val="18"/>
                <w:szCs w:val="18"/>
                <w:highlight w:val="none"/>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噪声</w:t>
            </w: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噪声</w:t>
            </w:r>
          </w:p>
        </w:tc>
        <w:tc>
          <w:tcPr>
            <w:tcW w:w="2005"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厂界</w:t>
            </w:r>
          </w:p>
        </w:tc>
        <w:tc>
          <w:tcPr>
            <w:tcW w:w="2891"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kern w:val="2"/>
                <w:sz w:val="18"/>
                <w:szCs w:val="18"/>
                <w:highlight w:val="none"/>
                <w:lang w:val="en-US" w:eastAsia="zh-CN" w:bidi="ar-SA"/>
              </w:rPr>
              <w:t>/</w:t>
            </w:r>
          </w:p>
        </w:tc>
        <w:tc>
          <w:tcPr>
            <w:tcW w:w="1186" w:type="dxa"/>
            <w:noWrap w:val="0"/>
            <w:vAlign w:val="center"/>
          </w:tcPr>
          <w:p>
            <w:pPr>
              <w:pStyle w:val="2"/>
              <w:ind w:left="0" w:leftChars="0" w:firstLine="0" w:firstLineChars="0"/>
              <w:jc w:val="center"/>
              <w:rPr>
                <w:rFonts w:hint="default"/>
                <w:highlight w:val="none"/>
                <w:lang w:val="en-US" w:eastAsia="zh-CN"/>
              </w:rPr>
            </w:pPr>
            <w:r>
              <w:rPr>
                <w:rFonts w:hint="eastAsia" w:ascii="宋体" w:hAnsi="宋体" w:eastAsia="宋体" w:cs="Times New Roman"/>
                <w:kern w:val="2"/>
                <w:sz w:val="18"/>
                <w:szCs w:val="18"/>
                <w:highlight w:val="no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2" w:type="dxa"/>
            <w:vMerge w:val="restart"/>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lang w:eastAsia="zh-CN"/>
              </w:rPr>
              <w:t>生活</w:t>
            </w:r>
            <w:r>
              <w:rPr>
                <w:rFonts w:hint="eastAsia" w:ascii="宋体" w:hAnsi="宋体"/>
                <w:sz w:val="18"/>
                <w:szCs w:val="18"/>
                <w:highlight w:val="none"/>
              </w:rPr>
              <w:t>废水</w:t>
            </w: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PH值</w:t>
            </w:r>
          </w:p>
        </w:tc>
        <w:tc>
          <w:tcPr>
            <w:tcW w:w="2005" w:type="dxa"/>
            <w:vMerge w:val="restart"/>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w:t>
            </w:r>
          </w:p>
        </w:tc>
        <w:tc>
          <w:tcPr>
            <w:tcW w:w="2891" w:type="dxa"/>
            <w:noWrap w:val="0"/>
            <w:vAlign w:val="center"/>
          </w:tcPr>
          <w:p>
            <w:pPr>
              <w:spacing w:line="480" w:lineRule="exact"/>
              <w:jc w:val="center"/>
              <w:rPr>
                <w:rFonts w:hint="eastAsia" w:ascii="宋体" w:hAnsi="宋体"/>
                <w:sz w:val="18"/>
                <w:szCs w:val="18"/>
                <w:highlight w:val="none"/>
                <w:lang w:val="en-US" w:eastAsia="zh-CN"/>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悬浮物</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化学需氧量</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生化需氧量</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氨氮</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rPr>
              <w:t>总磷</w:t>
            </w:r>
            <w:r>
              <w:rPr>
                <w:rFonts w:hint="eastAsia" w:ascii="宋体" w:hAnsi="宋体"/>
                <w:sz w:val="18"/>
                <w:szCs w:val="18"/>
                <w:highlight w:val="none"/>
                <w:lang w:eastAsia="zh-CN"/>
              </w:rPr>
              <w:t>（以</w:t>
            </w:r>
            <w:r>
              <w:rPr>
                <w:rFonts w:hint="eastAsia" w:ascii="宋体" w:hAnsi="宋体"/>
                <w:sz w:val="18"/>
                <w:szCs w:val="18"/>
                <w:highlight w:val="none"/>
                <w:lang w:val="en-US" w:eastAsia="zh-CN"/>
              </w:rPr>
              <w:t>P计）</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石油类</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动植物油</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阴离子表面活性剂</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eastAsia="zh-CN"/>
              </w:rPr>
              <w:t>总氮（以</w:t>
            </w:r>
            <w:r>
              <w:rPr>
                <w:rFonts w:hint="eastAsia" w:ascii="宋体" w:hAnsi="宋体"/>
                <w:sz w:val="18"/>
                <w:szCs w:val="18"/>
                <w:highlight w:val="none"/>
                <w:lang w:val="en-US" w:eastAsia="zh-CN"/>
              </w:rPr>
              <w:t>N计）</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流量</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beforeLines="0" w:afterLines="0"/>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restart"/>
            <w:noWrap w:val="0"/>
            <w:vAlign w:val="center"/>
          </w:tcPr>
          <w:p>
            <w:pPr>
              <w:spacing w:line="480" w:lineRule="exact"/>
              <w:jc w:val="both"/>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生产回用水</w:t>
            </w:r>
          </w:p>
        </w:tc>
        <w:tc>
          <w:tcPr>
            <w:tcW w:w="1989" w:type="dxa"/>
            <w:noWrap w:val="0"/>
            <w:vAlign w:val="center"/>
          </w:tcPr>
          <w:p>
            <w:pPr>
              <w:spacing w:line="480" w:lineRule="exact"/>
              <w:jc w:val="center"/>
              <w:rPr>
                <w:rFonts w:hint="eastAsia" w:ascii="宋体" w:hAnsi="宋体"/>
                <w:kern w:val="2"/>
                <w:sz w:val="18"/>
                <w:szCs w:val="18"/>
                <w:highlight w:val="none"/>
                <w:lang w:val="en-US" w:eastAsia="zh-CN" w:bidi="ar-SA"/>
              </w:rPr>
            </w:pPr>
            <w:r>
              <w:rPr>
                <w:rFonts w:hint="eastAsia" w:ascii="宋体" w:hAnsi="宋体"/>
                <w:sz w:val="18"/>
                <w:szCs w:val="18"/>
                <w:highlight w:val="none"/>
                <w:lang w:val="en-US" w:eastAsia="zh-CN"/>
              </w:rPr>
              <w:t>PH值</w:t>
            </w:r>
          </w:p>
        </w:tc>
        <w:tc>
          <w:tcPr>
            <w:tcW w:w="2005" w:type="dxa"/>
            <w:vMerge w:val="restart"/>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sz w:val="18"/>
                <w:szCs w:val="18"/>
                <w:highlight w:val="none"/>
                <w:lang w:val="en-US" w:eastAsia="zh-CN"/>
              </w:rPr>
              <w:t>色度</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sz w:val="18"/>
                <w:szCs w:val="18"/>
                <w:highlight w:val="none"/>
                <w:lang w:val="en-US" w:eastAsia="zh-CN"/>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sz w:val="18"/>
                <w:szCs w:val="18"/>
                <w:highlight w:val="none"/>
                <w:lang w:val="en-US" w:eastAsia="zh-CN"/>
              </w:rPr>
              <w:t>嗅</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kern w:val="2"/>
                <w:sz w:val="18"/>
                <w:szCs w:val="18"/>
                <w:highlight w:val="none"/>
                <w:lang w:val="en-US" w:eastAsia="zh-CN" w:bidi="ar-SA"/>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sz w:val="18"/>
                <w:szCs w:val="18"/>
                <w:highlight w:val="none"/>
                <w:lang w:val="en-US" w:eastAsia="zh-CN"/>
              </w:rPr>
              <w:t>浊度</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kern w:val="2"/>
                <w:sz w:val="18"/>
                <w:szCs w:val="18"/>
                <w:highlight w:val="none"/>
                <w:lang w:val="en-US" w:eastAsia="zh-CN" w:bidi="ar-SA"/>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sz w:val="18"/>
                <w:szCs w:val="18"/>
                <w:highlight w:val="none"/>
                <w:lang w:eastAsia="zh-CN"/>
              </w:rPr>
              <w:t>溶解性总固体</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kern w:val="2"/>
                <w:sz w:val="18"/>
                <w:szCs w:val="18"/>
                <w:highlight w:val="none"/>
                <w:lang w:val="en-US" w:eastAsia="zh-CN" w:bidi="ar-SA"/>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kern w:val="2"/>
                <w:sz w:val="18"/>
                <w:szCs w:val="18"/>
                <w:highlight w:val="none"/>
                <w:lang w:val="en-US" w:eastAsia="zh-CN" w:bidi="ar-SA"/>
              </w:rPr>
            </w:pPr>
            <w:r>
              <w:rPr>
                <w:rFonts w:hint="eastAsia" w:ascii="宋体" w:hAnsi="宋体"/>
                <w:sz w:val="18"/>
                <w:szCs w:val="18"/>
                <w:highlight w:val="none"/>
                <w:lang w:eastAsia="zh-CN"/>
              </w:rPr>
              <w:t>BOD</w:t>
            </w:r>
            <w:r>
              <w:rPr>
                <w:rFonts w:hint="eastAsia" w:ascii="宋体" w:hAnsi="宋体"/>
                <w:sz w:val="18"/>
                <w:szCs w:val="18"/>
                <w:highlight w:val="none"/>
                <w:vertAlign w:val="subscript"/>
                <w:lang w:eastAsia="zh-CN"/>
              </w:rPr>
              <w:t>5</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kern w:val="2"/>
                <w:sz w:val="18"/>
                <w:szCs w:val="18"/>
                <w:highlight w:val="none"/>
                <w:lang w:val="en-US" w:eastAsia="zh-CN" w:bidi="ar-SA"/>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kern w:val="2"/>
                <w:sz w:val="18"/>
                <w:szCs w:val="18"/>
                <w:highlight w:val="none"/>
                <w:lang w:val="en-US" w:eastAsia="zh-CN" w:bidi="ar-SA"/>
              </w:rPr>
            </w:pPr>
            <w:r>
              <w:rPr>
                <w:rFonts w:hint="eastAsia" w:ascii="宋体" w:hAnsi="宋体"/>
                <w:sz w:val="18"/>
                <w:szCs w:val="18"/>
                <w:highlight w:val="none"/>
                <w:lang w:val="en-US" w:eastAsia="zh-CN"/>
              </w:rPr>
              <w:t>氨氮</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kern w:val="2"/>
                <w:sz w:val="18"/>
                <w:szCs w:val="18"/>
                <w:highlight w:val="none"/>
                <w:lang w:val="en-US" w:eastAsia="zh-CN" w:bidi="ar-SA"/>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sz w:val="18"/>
                <w:szCs w:val="18"/>
                <w:highlight w:val="none"/>
                <w:lang w:val="en-US" w:eastAsia="zh-CN"/>
              </w:rPr>
              <w:t>LAS</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kern w:val="2"/>
                <w:sz w:val="18"/>
                <w:szCs w:val="18"/>
                <w:highlight w:val="none"/>
                <w:lang w:val="en-US" w:eastAsia="zh-CN" w:bidi="ar-SA"/>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sz w:val="18"/>
                <w:szCs w:val="18"/>
                <w:highlight w:val="none"/>
                <w:lang w:val="en-US" w:eastAsia="zh-CN"/>
              </w:rPr>
              <w:t>溶解氧</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kern w:val="2"/>
                <w:sz w:val="18"/>
                <w:szCs w:val="18"/>
                <w:highlight w:val="none"/>
                <w:lang w:val="en-US" w:eastAsia="zh-CN" w:bidi="ar-SA"/>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sz w:val="18"/>
                <w:szCs w:val="18"/>
                <w:highlight w:val="none"/>
                <w:lang w:val="en-US" w:eastAsia="zh-CN"/>
              </w:rPr>
              <w:t>总余氯</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eastAsia="宋体"/>
                <w:kern w:val="2"/>
                <w:sz w:val="18"/>
                <w:szCs w:val="18"/>
                <w:highlight w:val="none"/>
                <w:lang w:val="en-US" w:eastAsia="zh-CN" w:bidi="ar-SA"/>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default" w:ascii="宋体" w:hAnsi="宋体"/>
                <w:kern w:val="2"/>
                <w:sz w:val="18"/>
                <w:szCs w:val="18"/>
                <w:highlight w:val="none"/>
                <w:lang w:val="en-US" w:eastAsia="zh-CN" w:bidi="ar-SA"/>
              </w:rPr>
            </w:pPr>
            <w:r>
              <w:rPr>
                <w:rFonts w:hint="eastAsia" w:ascii="宋体" w:hAnsi="宋体"/>
                <w:sz w:val="18"/>
                <w:szCs w:val="18"/>
                <w:highlight w:val="none"/>
                <w:lang w:val="en-US" w:eastAsia="zh-CN"/>
              </w:rPr>
              <w:t>大肠埃希氏菌</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restart"/>
            <w:noWrap w:val="0"/>
            <w:vAlign w:val="center"/>
          </w:tcPr>
          <w:p>
            <w:pPr>
              <w:spacing w:line="48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雨水</w:t>
            </w: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PH值</w:t>
            </w:r>
          </w:p>
        </w:tc>
        <w:tc>
          <w:tcPr>
            <w:tcW w:w="2005" w:type="dxa"/>
            <w:vMerge w:val="restart"/>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w:t>
            </w:r>
          </w:p>
        </w:tc>
        <w:tc>
          <w:tcPr>
            <w:tcW w:w="2891" w:type="dxa"/>
            <w:noWrap w:val="0"/>
            <w:vAlign w:val="center"/>
          </w:tcPr>
          <w:p>
            <w:pPr>
              <w:spacing w:line="480" w:lineRule="exact"/>
              <w:jc w:val="center"/>
              <w:rPr>
                <w:rFonts w:hint="eastAsia" w:ascii="宋体" w:hAnsi="宋体"/>
                <w:sz w:val="18"/>
                <w:szCs w:val="18"/>
                <w:highlight w:val="none"/>
                <w:lang w:val="en-US" w:eastAsia="zh-CN"/>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悬浮物</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line="480" w:lineRule="exact"/>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vMerge w:val="continue"/>
            <w:noWrap w:val="0"/>
            <w:vAlign w:val="center"/>
          </w:tcPr>
          <w:p>
            <w:pPr>
              <w:spacing w:line="480" w:lineRule="exact"/>
              <w:jc w:val="center"/>
              <w:rPr>
                <w:rFonts w:hint="eastAsia" w:ascii="宋体" w:hAnsi="宋体"/>
                <w:sz w:val="18"/>
                <w:szCs w:val="18"/>
                <w:highlight w:val="none"/>
              </w:rPr>
            </w:pP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化学需氧量</w:t>
            </w:r>
          </w:p>
        </w:tc>
        <w:tc>
          <w:tcPr>
            <w:tcW w:w="2005" w:type="dxa"/>
            <w:vMerge w:val="continue"/>
            <w:noWrap w:val="0"/>
            <w:vAlign w:val="center"/>
          </w:tcPr>
          <w:p>
            <w:pPr>
              <w:spacing w:line="480" w:lineRule="exact"/>
              <w:jc w:val="center"/>
              <w:rPr>
                <w:rFonts w:hint="eastAsia" w:ascii="宋体" w:hAnsi="宋体"/>
                <w:sz w:val="18"/>
                <w:szCs w:val="18"/>
                <w:highlight w:val="none"/>
              </w:rPr>
            </w:pPr>
          </w:p>
        </w:tc>
        <w:tc>
          <w:tcPr>
            <w:tcW w:w="2891" w:type="dxa"/>
            <w:noWrap w:val="0"/>
            <w:vAlign w:val="center"/>
          </w:tcPr>
          <w:p>
            <w:pPr>
              <w:spacing w:beforeLines="0" w:afterLines="0"/>
              <w:jc w:val="center"/>
              <w:rPr>
                <w:rFonts w:hint="eastAsia" w:ascii="宋体" w:hAnsi="宋体"/>
                <w:sz w:val="18"/>
                <w:szCs w:val="18"/>
                <w:highlight w:val="none"/>
              </w:rPr>
            </w:pPr>
            <w:r>
              <w:rPr>
                <w:rFonts w:hint="eastAsia" w:ascii="宋体" w:hAnsi="宋体" w:eastAsia="宋体"/>
                <w:sz w:val="18"/>
                <w:szCs w:val="18"/>
                <w:highlight w:val="none"/>
              </w:rPr>
              <w:t>瞬时采样至少</w:t>
            </w:r>
            <w:r>
              <w:rPr>
                <w:rFonts w:hint="default" w:ascii="宋体" w:hAnsi="宋体" w:eastAsia="宋体"/>
                <w:sz w:val="18"/>
                <w:szCs w:val="18"/>
                <w:highlight w:val="none"/>
              </w:rPr>
              <w:t>3</w:t>
            </w:r>
            <w:r>
              <w:rPr>
                <w:rFonts w:hint="eastAsia" w:ascii="宋体" w:hAnsi="宋体" w:eastAsia="宋体"/>
                <w:sz w:val="18"/>
                <w:szCs w:val="18"/>
                <w:highlight w:val="none"/>
              </w:rPr>
              <w:t>个瞬时样</w:t>
            </w:r>
          </w:p>
        </w:tc>
        <w:tc>
          <w:tcPr>
            <w:tcW w:w="1186" w:type="dxa"/>
            <w:noWrap w:val="0"/>
            <w:vAlign w:val="center"/>
          </w:tcPr>
          <w:p>
            <w:pPr>
              <w:spacing w:beforeLines="0" w:afterLines="0"/>
              <w:jc w:val="center"/>
              <w:rPr>
                <w:rFonts w:hint="default" w:ascii="宋体" w:hAnsi="宋体" w:eastAsia="宋体"/>
                <w:sz w:val="18"/>
                <w:szCs w:val="18"/>
                <w:highlight w:val="none"/>
                <w:lang w:val="en-US" w:eastAsia="zh-CN"/>
              </w:rPr>
            </w:pPr>
            <w:r>
              <w:rPr>
                <w:rFonts w:hint="eastAsia" w:ascii="宋体" w:hAnsi="宋体" w:eastAsia="宋体"/>
                <w:sz w:val="18"/>
                <w:szCs w:val="18"/>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非道路移动机械</w:t>
            </w:r>
          </w:p>
        </w:tc>
        <w:tc>
          <w:tcPr>
            <w:tcW w:w="1989"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尾气</w:t>
            </w:r>
          </w:p>
        </w:tc>
        <w:tc>
          <w:tcPr>
            <w:tcW w:w="2005"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w:t>
            </w:r>
          </w:p>
        </w:tc>
        <w:tc>
          <w:tcPr>
            <w:tcW w:w="2891"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w:t>
            </w:r>
          </w:p>
        </w:tc>
        <w:tc>
          <w:tcPr>
            <w:tcW w:w="1186"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noWrap w:val="0"/>
            <w:vAlign w:val="center"/>
          </w:tcPr>
          <w:p>
            <w:pPr>
              <w:spacing w:line="480" w:lineRule="exact"/>
              <w:jc w:val="center"/>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在线比对监测</w:t>
            </w:r>
          </w:p>
        </w:tc>
        <w:tc>
          <w:tcPr>
            <w:tcW w:w="1989" w:type="dxa"/>
            <w:noWrap w:val="0"/>
            <w:vAlign w:val="center"/>
          </w:tcPr>
          <w:p>
            <w:pPr>
              <w:spacing w:line="480" w:lineRule="exact"/>
              <w:jc w:val="center"/>
              <w:rPr>
                <w:rFonts w:hint="eastAsia" w:ascii="宋体" w:hAnsi="宋体" w:eastAsia="宋体"/>
                <w:sz w:val="18"/>
                <w:szCs w:val="18"/>
                <w:highlight w:val="none"/>
                <w:lang w:eastAsia="zh-CN"/>
              </w:rPr>
            </w:pPr>
            <w:r>
              <w:rPr>
                <w:rFonts w:hint="eastAsia" w:ascii="宋体" w:hAnsi="宋体"/>
                <w:sz w:val="18"/>
                <w:szCs w:val="18"/>
                <w:highlight w:val="none"/>
                <w:lang w:eastAsia="zh-CN"/>
              </w:rPr>
              <w:t>非甲烷总烃</w:t>
            </w:r>
          </w:p>
        </w:tc>
        <w:tc>
          <w:tcPr>
            <w:tcW w:w="2005" w:type="dxa"/>
            <w:noWrap w:val="0"/>
            <w:vAlign w:val="center"/>
          </w:tcPr>
          <w:p>
            <w:pPr>
              <w:spacing w:line="480" w:lineRule="exact"/>
              <w:jc w:val="center"/>
              <w:rPr>
                <w:rFonts w:hint="eastAsia" w:ascii="宋体" w:hAnsi="宋体"/>
                <w:sz w:val="18"/>
                <w:szCs w:val="18"/>
                <w:highlight w:val="none"/>
              </w:rPr>
            </w:pPr>
            <w:r>
              <w:rPr>
                <w:rFonts w:hint="eastAsia" w:ascii="宋体" w:hAnsi="宋体"/>
                <w:sz w:val="18"/>
                <w:szCs w:val="18"/>
                <w:highlight w:val="none"/>
              </w:rPr>
              <w:t>/</w:t>
            </w:r>
          </w:p>
        </w:tc>
        <w:tc>
          <w:tcPr>
            <w:tcW w:w="2891"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w:t>
            </w:r>
          </w:p>
        </w:tc>
        <w:tc>
          <w:tcPr>
            <w:tcW w:w="1186"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2"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食堂油烟</w:t>
            </w:r>
          </w:p>
        </w:tc>
        <w:tc>
          <w:tcPr>
            <w:tcW w:w="1989" w:type="dxa"/>
            <w:noWrap w:val="0"/>
            <w:vAlign w:val="center"/>
          </w:tcPr>
          <w:p>
            <w:pPr>
              <w:spacing w:line="480" w:lineRule="exact"/>
              <w:jc w:val="center"/>
              <w:rPr>
                <w:rFonts w:hint="eastAsia" w:ascii="宋体" w:hAnsi="宋体"/>
                <w:sz w:val="18"/>
                <w:szCs w:val="18"/>
                <w:highlight w:val="none"/>
                <w:lang w:eastAsia="zh-CN"/>
              </w:rPr>
            </w:pPr>
            <w:r>
              <w:rPr>
                <w:rFonts w:hint="eastAsia" w:ascii="宋体" w:hAnsi="宋体"/>
                <w:sz w:val="18"/>
                <w:szCs w:val="18"/>
                <w:highlight w:val="none"/>
                <w:lang w:val="en-US" w:eastAsia="zh-CN"/>
              </w:rPr>
              <w:t>食堂油烟</w:t>
            </w:r>
          </w:p>
        </w:tc>
        <w:tc>
          <w:tcPr>
            <w:tcW w:w="2005" w:type="dxa"/>
            <w:noWrap w:val="0"/>
            <w:vAlign w:val="center"/>
          </w:tcPr>
          <w:p>
            <w:pPr>
              <w:spacing w:line="480" w:lineRule="exact"/>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w:t>
            </w:r>
          </w:p>
        </w:tc>
        <w:tc>
          <w:tcPr>
            <w:tcW w:w="2891"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w:t>
            </w:r>
          </w:p>
        </w:tc>
        <w:tc>
          <w:tcPr>
            <w:tcW w:w="1186" w:type="dxa"/>
            <w:noWrap w:val="0"/>
            <w:vAlign w:val="center"/>
          </w:tcPr>
          <w:p>
            <w:pPr>
              <w:spacing w:line="480" w:lineRule="exact"/>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1</w:t>
            </w:r>
          </w:p>
        </w:tc>
      </w:tr>
    </w:tbl>
    <w:p>
      <w:pPr>
        <w:spacing w:line="300" w:lineRule="auto"/>
        <w:rPr>
          <w:rFonts w:hint="eastAsia"/>
          <w:sz w:val="24"/>
          <w:highlight w:val="none"/>
        </w:rPr>
      </w:pPr>
      <w:r>
        <w:rPr>
          <w:rFonts w:hint="eastAsia"/>
          <w:b/>
          <w:bCs/>
          <w:sz w:val="24"/>
          <w:highlight w:val="none"/>
        </w:rPr>
        <w:t>注：</w:t>
      </w:r>
      <w:r>
        <w:rPr>
          <w:rFonts w:hint="eastAsia"/>
          <w:b/>
          <w:bCs/>
          <w:sz w:val="24"/>
          <w:highlight w:val="none"/>
          <w:lang w:eastAsia="zh-CN"/>
        </w:rPr>
        <w:t>本项目为招</w:t>
      </w:r>
      <w:r>
        <w:rPr>
          <w:rFonts w:hint="eastAsia"/>
          <w:b/>
          <w:bCs/>
          <w:sz w:val="24"/>
          <w:highlight w:val="none"/>
          <w:lang w:val="en-US" w:eastAsia="zh-CN"/>
        </w:rPr>
        <w:t>单价</w:t>
      </w:r>
      <w:r>
        <w:rPr>
          <w:rFonts w:hint="eastAsia"/>
          <w:b/>
          <w:bCs/>
          <w:sz w:val="24"/>
          <w:highlight w:val="none"/>
          <w:lang w:eastAsia="zh-CN"/>
        </w:rPr>
        <w:t>，</w:t>
      </w:r>
      <w:r>
        <w:rPr>
          <w:rFonts w:hint="eastAsia"/>
          <w:b/>
          <w:bCs/>
          <w:sz w:val="24"/>
          <w:highlight w:val="none"/>
        </w:rPr>
        <w:t>合同结算以实际发生为准</w:t>
      </w:r>
      <w:r>
        <w:rPr>
          <w:rFonts w:hint="eastAsia"/>
          <w:sz w:val="24"/>
          <w:highlight w:val="none"/>
        </w:rPr>
        <w:t>。</w:t>
      </w:r>
    </w:p>
    <w:p>
      <w:pPr>
        <w:pStyle w:val="5"/>
        <w:spacing w:line="240" w:lineRule="auto"/>
        <w:jc w:val="left"/>
        <w:rPr>
          <w:rFonts w:hint="eastAsia"/>
          <w:b w:val="0"/>
          <w:bCs/>
          <w:highlight w:val="none"/>
        </w:rPr>
      </w:pPr>
      <w:bookmarkStart w:id="1" w:name="_Toc19622"/>
      <w:r>
        <w:rPr>
          <w:rFonts w:hint="eastAsia"/>
          <w:b w:val="0"/>
          <w:bCs/>
          <w:highlight w:val="none"/>
          <w:lang w:val="en-US" w:eastAsia="zh-CN"/>
        </w:rPr>
        <w:t>二</w:t>
      </w:r>
      <w:r>
        <w:rPr>
          <w:rFonts w:hint="eastAsia"/>
          <w:b w:val="0"/>
          <w:bCs/>
          <w:highlight w:val="none"/>
        </w:rPr>
        <w:t>、投标要求</w:t>
      </w:r>
      <w:bookmarkEnd w:id="1"/>
    </w:p>
    <w:p>
      <w:pPr>
        <w:adjustRightInd w:val="0"/>
        <w:snapToGrid w:val="0"/>
        <w:spacing w:line="360" w:lineRule="auto"/>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根据以上提出的项目服务要求，投标人须提出完整的服务方案。</w:t>
      </w:r>
    </w:p>
    <w:p>
      <w:pPr>
        <w:adjustRightInd w:val="0"/>
        <w:snapToGrid w:val="0"/>
        <w:spacing w:line="360" w:lineRule="auto"/>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投标人须对服务要求中提出的服务承诺及其它具体要求作出完整的承诺。</w:t>
      </w:r>
    </w:p>
    <w:p>
      <w:pPr>
        <w:adjustRightInd w:val="0"/>
        <w:snapToGrid w:val="0"/>
        <w:spacing w:line="360" w:lineRule="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投标文件须严格按照竞标文件的要求完整制作。竞标文件有规定格式的，按照格式编制，没有格式的由投标人自行编制。</w:t>
      </w:r>
    </w:p>
    <w:p>
      <w:pPr>
        <w:pStyle w:val="5"/>
        <w:spacing w:line="240" w:lineRule="auto"/>
        <w:jc w:val="left"/>
        <w:rPr>
          <w:rFonts w:hint="eastAsia" w:ascii="Arial" w:hAnsi="Arial" w:cs="Times New Roman"/>
          <w:b w:val="0"/>
          <w:bCs/>
          <w:highlight w:val="none"/>
          <w:lang w:val="en-US" w:eastAsia="zh-CN"/>
        </w:rPr>
      </w:pPr>
      <w:r>
        <w:rPr>
          <w:rFonts w:hint="eastAsia" w:ascii="Arial" w:hAnsi="Arial" w:cs="Times New Roman"/>
          <w:b w:val="0"/>
          <w:bCs/>
          <w:highlight w:val="none"/>
          <w:lang w:val="en-US" w:eastAsia="zh-CN"/>
        </w:rPr>
        <w:t>三、付款要求</w:t>
      </w:r>
    </w:p>
    <w:p>
      <w:pPr>
        <w:adjustRightInd w:val="0"/>
        <w:snapToGrid w:val="0"/>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甲方收到</w:t>
      </w:r>
      <w:r>
        <w:rPr>
          <w:rFonts w:hint="eastAsia" w:ascii="宋体" w:hAnsi="宋体" w:eastAsia="宋体" w:cs="Times New Roman"/>
          <w:sz w:val="24"/>
          <w:highlight w:val="none"/>
          <w:lang w:val="en-US" w:eastAsia="zh-CN"/>
        </w:rPr>
        <w:t>乙方正式盖章版</w:t>
      </w:r>
      <w:r>
        <w:rPr>
          <w:rFonts w:hint="eastAsia" w:ascii="宋体" w:hAnsi="宋体" w:eastAsia="宋体" w:cs="Times New Roman"/>
          <w:sz w:val="24"/>
          <w:highlight w:val="none"/>
        </w:rPr>
        <w:t>季度检测报告和增值税专用发票后</w:t>
      </w:r>
      <w:r>
        <w:rPr>
          <w:rFonts w:hint="eastAsia" w:ascii="宋体" w:hAnsi="宋体" w:eastAsia="宋体" w:cs="Times New Roman"/>
          <w:sz w:val="24"/>
          <w:highlight w:val="none"/>
          <w:lang w:val="en-US" w:eastAsia="zh-CN"/>
        </w:rPr>
        <w:t>180</w:t>
      </w:r>
      <w:r>
        <w:rPr>
          <w:rFonts w:hint="eastAsia" w:ascii="宋体" w:hAnsi="宋体" w:eastAsia="宋体" w:cs="Times New Roman"/>
          <w:sz w:val="24"/>
          <w:highlight w:val="none"/>
        </w:rPr>
        <w:t>天内支付实际发生费用。</w:t>
      </w:r>
    </w:p>
    <w:p>
      <w:pPr>
        <w:pStyle w:val="2"/>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乙方在规定时间内完成排污许可证的更新，且提供增值税专用发票后甲方180天内支付相关费用。</w:t>
      </w:r>
    </w:p>
    <w:p>
      <w:pPr>
        <w:pStyle w:val="2"/>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乙方在规定时间内完成排污许可执行季度、年度报告上报，且提供增值税专用发票后甲方180天内支付相关费用。</w:t>
      </w:r>
    </w:p>
    <w:p>
      <w:pPr>
        <w:pStyle w:val="5"/>
        <w:spacing w:line="240" w:lineRule="auto"/>
        <w:jc w:val="left"/>
        <w:rPr>
          <w:rFonts w:hint="default" w:ascii="Arial" w:hAnsi="Arial" w:cs="Times New Roman"/>
          <w:b w:val="0"/>
          <w:bCs/>
          <w:highlight w:val="none"/>
          <w:lang w:val="en-US" w:eastAsia="zh-CN"/>
        </w:rPr>
      </w:pPr>
      <w:r>
        <w:rPr>
          <w:rFonts w:hint="eastAsia" w:ascii="Arial" w:hAnsi="Arial" w:cs="Times New Roman"/>
          <w:b w:val="0"/>
          <w:bCs/>
          <w:highlight w:val="none"/>
          <w:lang w:val="en-US" w:eastAsia="zh-CN"/>
        </w:rPr>
        <w:t>四、相关工作要求</w:t>
      </w:r>
    </w:p>
    <w:p>
      <w:pPr>
        <w:pStyle w:val="3"/>
        <w:keepNext w:val="0"/>
        <w:keepLines w:val="0"/>
        <w:pageBreakBefore w:val="0"/>
        <w:widowControl w:val="0"/>
        <w:kinsoku/>
        <w:wordWrap/>
        <w:overflowPunct/>
        <w:topLinePunct w:val="0"/>
        <w:autoSpaceDE/>
        <w:autoSpaceDN/>
        <w:bidi w:val="0"/>
        <w:spacing w:line="480" w:lineRule="exact"/>
        <w:textAlignment w:val="auto"/>
        <w:rPr>
          <w:rFonts w:hint="eastAsia"/>
          <w:highlight w:val="none"/>
        </w:rPr>
      </w:pPr>
      <w:r>
        <w:rPr>
          <w:rFonts w:hint="eastAsia"/>
          <w:highlight w:val="none"/>
          <w:lang w:val="en-US" w:eastAsia="zh-CN"/>
        </w:rPr>
        <w:t>1.</w:t>
      </w:r>
      <w:r>
        <w:rPr>
          <w:rFonts w:hint="eastAsia"/>
          <w:highlight w:val="none"/>
        </w:rPr>
        <w:t>在合同期内，中标单位不得将项目分包或整体转包给任何单位和个人。否则，竞标单位有权即刻终止合同，并要求中标方赔偿所有相应损失。</w:t>
      </w:r>
    </w:p>
    <w:p>
      <w:r>
        <w:rPr>
          <w:rFonts w:hint="eastAsia"/>
          <w:highlight w:val="none"/>
          <w:lang w:val="en-US" w:eastAsia="zh-CN"/>
        </w:rPr>
        <w:t>2.</w:t>
      </w:r>
      <w:r>
        <w:rPr>
          <w:rFonts w:hint="eastAsia"/>
          <w:highlight w:val="none"/>
        </w:rPr>
        <w:t>中标单位能严格履行职责，切实做好项目的管理工作。操作人员必须各尽其职，保证符合各项工作质量要求。如安排不当、人员不能到位影响正常工作的，每次违例按合同内要求给予经济处罚，并在服务费用中扣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C7A34"/>
    <w:rsid w:val="3DD53CD0"/>
    <w:rsid w:val="6D9E2941"/>
    <w:rsid w:val="7174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20" w:beforeLines="0" w:after="120" w:afterLines="0" w:line="300" w:lineRule="auto"/>
      <w:jc w:val="center"/>
      <w:outlineLvl w:val="0"/>
    </w:pPr>
    <w:rPr>
      <w:b/>
      <w:bCs/>
      <w:kern w:val="44"/>
      <w:sz w:val="36"/>
      <w:szCs w:val="44"/>
    </w:rPr>
  </w:style>
  <w:style w:type="paragraph" w:styleId="5">
    <w:name w:val="heading 2"/>
    <w:basedOn w:val="6"/>
    <w:next w:val="1"/>
    <w:qFormat/>
    <w:uiPriority w:val="0"/>
    <w:pPr>
      <w:keepNext/>
      <w:keepLines/>
      <w:spacing w:before="260" w:beforeLines="0" w:after="260" w:afterLines="0" w:line="416" w:lineRule="auto"/>
      <w:outlineLvl w:val="1"/>
    </w:pPr>
    <w:rPr>
      <w:rFonts w:ascii="Arial" w:hAnsi="Arial" w:eastAsia="黑体"/>
      <w:b w:val="0"/>
      <w:bCs w:val="0"/>
      <w:sz w:val="32"/>
      <w:szCs w:val="32"/>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sz w:val="21"/>
      <w:szCs w:val="24"/>
    </w:rPr>
  </w:style>
  <w:style w:type="paragraph" w:styleId="3">
    <w:name w:val="Body Text"/>
    <w:basedOn w:val="1"/>
    <w:qFormat/>
    <w:uiPriority w:val="0"/>
    <w:rPr>
      <w:sz w:val="24"/>
    </w:rPr>
  </w:style>
  <w:style w:type="paragraph" w:styleId="6">
    <w:name w:val="Title"/>
    <w:basedOn w:val="1"/>
    <w:next w:val="1"/>
    <w:qFormat/>
    <w:uiPriority w:val="0"/>
    <w:pPr>
      <w:spacing w:before="240" w:beforeLines="0" w:after="60" w:afterLines="0"/>
      <w:jc w:val="center"/>
      <w:outlineLvl w:val="0"/>
    </w:pPr>
    <w:rPr>
      <w:rFonts w:ascii="Cambria" w:hAnsi="Cambria"/>
      <w:b/>
      <w:bCs/>
      <w:sz w:val="32"/>
      <w:szCs w:val="32"/>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2021-07-13T09:31:00Z</dcterms:created>
  <dc:creator>014700991614</dc:creator>
  <cp:lastModifiedBy>乔鹏飞</cp:lastModifiedBy>
  <dcterms:modified xsi:type="dcterms:W3CDTF">2023-03-13T07:13:18Z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