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bookmarkStart w:id="0" w:name="_Toc51699507"/>
      <w:bookmarkStart w:id="1" w:name="OLE_LINK23"/>
      <w:bookmarkStart w:id="2" w:name="_Toc9885"/>
      <w:bookmarkStart w:id="3" w:name="_Toc287707136"/>
      <w:bookmarkStart w:id="4" w:name="_Toc24279"/>
      <w:r>
        <w:rPr>
          <w:rFonts w:hint="eastAsia" w:ascii="黑体" w:hAnsi="黑体" w:eastAsia="黑体" w:cs="黑体"/>
          <w:b/>
          <w:bCs/>
          <w:sz w:val="44"/>
          <w:highlight w:val="none"/>
          <w:lang w:val="en-US" w:eastAsia="zh-CN"/>
        </w:rPr>
        <w:t xml:space="preserve"> </w:t>
      </w:r>
      <w:bookmarkEnd w:id="0"/>
      <w:bookmarkEnd w:id="1"/>
      <w:bookmarkStart w:id="7" w:name="_GoBack"/>
      <w:r>
        <w:rPr>
          <w:rFonts w:hint="eastAsia" w:ascii="黑体" w:hAnsi="黑体" w:eastAsia="黑体" w:cs="黑体"/>
          <w:b/>
          <w:bCs/>
          <w:sz w:val="44"/>
          <w:highlight w:val="none"/>
          <w:lang w:eastAsia="zh-CN"/>
        </w:rPr>
        <w:t>供货需求</w:t>
      </w:r>
      <w:bookmarkEnd w:id="7"/>
    </w:p>
    <w:p>
      <w:pPr>
        <w:adjustRightInd w:val="0"/>
        <w:snapToGrid w:val="0"/>
        <w:spacing w:line="460" w:lineRule="atLeast"/>
        <w:jc w:val="left"/>
        <w:outlineLvl w:val="1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5" w:name="_Toc16386"/>
    </w:p>
    <w:p>
      <w:pPr>
        <w:adjustRightInd w:val="0"/>
        <w:snapToGrid w:val="0"/>
        <w:spacing w:line="460" w:lineRule="atLeast"/>
        <w:jc w:val="left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、货物需求一览表</w:t>
      </w:r>
      <w:bookmarkEnd w:id="5"/>
    </w:p>
    <w:p>
      <w:pPr>
        <w:adjustRightInd w:val="0"/>
        <w:snapToGrid w:val="0"/>
        <w:spacing w:line="460" w:lineRule="atLeast"/>
        <w:ind w:left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5"/>
        <w:tblW w:w="91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19"/>
        <w:gridCol w:w="677"/>
        <w:gridCol w:w="676"/>
        <w:gridCol w:w="1893"/>
        <w:gridCol w:w="1758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614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1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67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7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893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主要技术规格</w:t>
            </w:r>
          </w:p>
        </w:tc>
        <w:tc>
          <w:tcPr>
            <w:tcW w:w="175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交货期</w:t>
            </w:r>
          </w:p>
        </w:tc>
        <w:tc>
          <w:tcPr>
            <w:tcW w:w="145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到货地点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</w:trPr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海宝、梅塞尔及焊机耗件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批</w:t>
            </w: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详见本章：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二、技术规格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12" w:leftChars="0" w:right="-53" w:rightChars="-25" w:hanging="12" w:hangingChars="5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交货分批次进行，批次不限，由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在指定时间内将指定物品送至指定位置。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此次单价招标有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期限为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2022年1月1日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起至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年12月31日止。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买方现场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6" w:name="_Toc1137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二、 </w:t>
      </w:r>
      <w:bookmarkEnd w:id="6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技 术 规 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 备件明细及技术参数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主要包括用于激光、等离子切割机用的海宝、梅塞尔等品牌备件及OTC、松下等焊接设备用备件等。投标单位需严格按表内的品牌、规格型号或货号、包装大小要求报价，报价为含税单价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3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激光、等离子切割机用海宝、梅塞尔备件OTC、松下等焊接设备备件清单</w:t>
      </w:r>
    </w:p>
    <w:tbl>
      <w:tblPr>
        <w:tblStyle w:val="5"/>
        <w:tblW w:w="9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356"/>
        <w:gridCol w:w="2158"/>
        <w:gridCol w:w="2726"/>
        <w:gridCol w:w="1443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物料编号</w:t>
            </w:r>
          </w:p>
        </w:tc>
        <w:tc>
          <w:tcPr>
            <w:tcW w:w="215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72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（制造厂家）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电极-220649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电极-220541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喷嘴-220646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喷嘴-220542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涡流环-220179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涡流环-220436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涡流环-220631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保护帽-220742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保护帽-220741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410100028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保护帽-220636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410100058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电极-220352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410100059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固定帽-220760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410100074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保护帽-220764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410100075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喷嘴-220439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410100076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电极-220435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410100089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固定帽-220756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410100090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保护罩-220637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410100106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保护帽-220183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410100107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保护帽-220761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410100108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固定帽-220757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410100109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涡流环-220353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410100169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电极-220629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410100245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喷嘴-220632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固定帽-220635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410100251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水管-220571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410100252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保护罩-220747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410100253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固定帽-220740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410100254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喷嘴-220182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410100255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电极-220181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410100256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电极-220700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410100295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割炬-220706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410100300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二通调节器总成-229128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80-AR20-NO2H-NZ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三通调节器总成-229129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80-AR20-NO2H-NZ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滤芯-027664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410100432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电磁阀-228984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PN2-10bar 110-120v/3w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410100502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电磁阀-006109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410100503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PCB控制板-141030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420800119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HPR400XD 028872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430100069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水管-220340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海宝配件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410100077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OTC350A 快速插头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4734-016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410100078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OTC350A 快速插座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4734-007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410100126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丙烷烤枪喷嘴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2#扩散式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410100296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割枪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G01-100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410100297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割枪喷嘴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G01-100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410100340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350A，紫铜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410100341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喷嘴接头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350A，紫铜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410100342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500A，紫铜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410100343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喷嘴接头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500A，紫铜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410100344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微型水泵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125W 380V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410100345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铈钨电极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150mm*3.2mm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410100387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割炬本体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TKU08103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410100429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YN32C2SB Φ3.2mm*150mm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铈钨极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Φ2.4mm*60mm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410100431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钼丝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Φ0.18mm 2000m/盘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P板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TSMPA073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保护帽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TGN00147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割嘴1.7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TET06626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TET02033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把手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TKC00051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TGN00147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割嘴1.1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TET01110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410100476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7W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410100477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绝缘套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7W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410100478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导电嘴座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7W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420100056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焊枪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WT3510-SCD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420100057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焊枪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YT-50CS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420100063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氩弧焊枪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420100064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地线插座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420100065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地线插头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420200022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 350A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420200023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弯管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 350A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420200024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 500A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420200025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弯管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 500A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松下原装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430100052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OTC350A 导丝管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U5185D02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OTC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导向装置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116.11251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1215-A-716.15949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 716.15941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410100328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 716.15942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410100329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 716.15943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410100331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 716.15944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410100388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410100389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CEME 1/4.24DC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410100390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防碰撞传感器线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20.20506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410100445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A轴防碰撞线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PKG 3M-0.3-PSW 3M/S90/S101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410100460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等离子氧气接头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螺纹Φ16mm，小管Φ8mm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410100482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TURCK接近开关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BTL-EG05-AP6X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410100501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TURCK接近开关-4608640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410100613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防碰撞开关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防碰撞线三芯线缆（带插头）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410300014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梅塞尔直角焊接头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107.2022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420600032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三通铜接头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107.2021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420600033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两通铜接头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107.2023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420600034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两通方形铜接头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107.2022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540101723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1215-A-716.15945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540101724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1215-A-716.15946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540101725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火焰割嘴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1215-A-716.15947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540101727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火焰割帽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1215-A-716.15950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540101728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火焰割帽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1215-A-716.15951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梅塞尔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技术规格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严格按上表内的品牌、规格型号或货号、包装大小要求报价，报价为含税单价。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质量要求：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备件必须为合格品，供货方应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备件的出厂性能测验记录或报告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，必须提供备件的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有效合格证书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若有不合格品，供应商免费调换或无条件退货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 投标人投标标书应提供的内容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3.1投标方提供交钥匙工程。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3.2提供对设备备件的检验标准（检验方法及设备标准精度值）、检测手段、检验时所用工具等。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3.3提供设备备件的产品样本。投标书应对所投设备备件的用途、功能、技术参数进行详细介绍，并出示必要的说明资料，应根据招标书提出的要求进行应答。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3.5提供设备备件售后服务的说明。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 投标人随设备需提供资料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4.1卖方应提供所有设备备件的出厂性能测验记录或报告。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4.2卖方应提供所有设备备件的有效合格证书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或出库单据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 货物验收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5.1.设备备件的最终验收在买方公司进行。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5.2.按设备备件验收标准及标书技术规格要求进行验收。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 货物安装与调试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本项目为交钥匙工程，卖方负责运送、安装、调试直至交付使用。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7.培训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卖方需要就设备备件的操作和维护对用户进行现场免费培训。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培训地点: 买方使用现场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培训时间:  1天(8小时)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卖方应该提供用于培训的详细资料。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8. 质量保证期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质量保证期：自检验合格之日起1年。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 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</w:rPr>
        <w:t>9.1</w:t>
      </w:r>
      <w:r>
        <w:rPr>
          <w:rFonts w:hint="eastAsia" w:ascii="宋体" w:hAnsi="宋体" w:eastAsia="宋体" w:cs="宋体"/>
          <w:bCs/>
          <w:sz w:val="24"/>
          <w:szCs w:val="24"/>
        </w:rPr>
        <w:t>投标方在接到招标方故障信息通知后，应在4小时内作出响应，24小时内到达现场进行故障处理。</w:t>
      </w:r>
    </w:p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12129"/>
    <w:multiLevelType w:val="multilevel"/>
    <w:tmpl w:val="677121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D5DF0"/>
    <w:rsid w:val="21683C58"/>
    <w:rsid w:val="2B8C7A34"/>
    <w:rsid w:val="2CA055C4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4">
    <w:name w:val="Plain Text"/>
    <w:basedOn w:val="1"/>
    <w:uiPriority w:val="0"/>
    <w:rPr>
      <w:rFonts w:ascii="宋体" w:hAnsi="Courier New"/>
      <w:color w:val="000000"/>
      <w:kern w:val="0"/>
      <w:sz w:val="28"/>
      <w:szCs w:val="20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014700991614</cp:lastModifiedBy>
  <dcterms:modified xsi:type="dcterms:W3CDTF">2021-12-17T01:52:11Z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