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关于征集“假冒国企”线索的公告</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资委《关于深入开展打击假冒国企专项行动有关事项的通知》的要求，中车长春轨道客车股份有限公司正在有序开展打击假冒国企专项行动，为确保专项行动取得实效，现向社会各界征集假冒中车长春轨道客车股份有限公司（以下简称“我公司”）或我公司下属公司情况的相关线索，如发现以下现象请于6月10日前向我公司提供线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“假冒国企”情况包括不限于以下情形：</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伪造或非法使用我公司或我公司下属公司印章、伪造工商注册材料等；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民营企业将我公司或我公司下属公司注册为股东；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冒用我公司或我公司下属公司名号开展生产经营活动；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其他假冒我公司的情况。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请社会各界注意辨别，增强风险防范意识，避免造成损失。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联系电话：0431-87903428</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"mailto:013200028871@crrcgc.cc"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lang w:val="en-US" w:eastAsia="zh-CN"/>
        </w:rPr>
        <w:t>013200028871@crrcgc.cc</w:t>
      </w:r>
      <w:r>
        <w:rPr>
          <w:rFonts w:hint="eastAsia" w:ascii="仿宋" w:hAnsi="仿宋" w:eastAsia="仿宋" w:cs="仿宋"/>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中车长春轨道客车股份有限公司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2022年6月6日</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D4979"/>
    <w:multiLevelType w:val="singleLevel"/>
    <w:tmpl w:val="629D49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compat>
    <w:useFELayout/>
    <w:splitPgBreakAndParaMark/>
    <w:compatSetting w:name="compatibilityMode" w:uri="http://schemas.microsoft.com/office/word" w:val="12"/>
  </w:compat>
  <w:rsids>
    <w:rsidRoot w:val="00000000"/>
    <w:rsid w:val="179B542D"/>
    <w:rsid w:val="1AD7636D"/>
    <w:rsid w:val="2A834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rPr>
  </w:style>
  <w:style w:type="character" w:styleId="4">
    <w:name w:val="Hyperlink"/>
    <w:basedOn w:val="3"/>
    <w:uiPriority w:val="0"/>
    <w:rPr>
      <w:color w:val="0000FF"/>
      <w:u w:val="single"/>
    </w:rPr>
  </w:style>
  <w:style w:type="character" w:customStyle="1" w:styleId="6">
    <w:name w:val="fontstyle01"/>
    <w:basedOn w:val="3"/>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Office_10.8.0.6470_F1E327BC-269C-435d-A152-05C5408002CA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2022-06-06T00:04:00Z</dcterms:created>
  <dc:creator>lenovo</dc:creator>
  <cp:lastModifiedBy>赵进</cp:lastModifiedBy>
  <dcterms:modified xsi:type="dcterms:W3CDTF">2022-06-08T00:31:43Z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