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highlight w:val="none"/>
        </w:rPr>
      </w:pPr>
      <w:r>
        <w:rPr>
          <w:rFonts w:hint="eastAsia" w:ascii="黑体" w:hAnsi="黑体" w:eastAsia="黑体" w:cs="黑体"/>
          <w:b/>
          <w:bCs/>
          <w:sz w:val="44"/>
          <w:highlight w:val="none"/>
        </w:rPr>
        <w:t>档案室改造项目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highlight w:val="none"/>
        </w:rPr>
        <w:t>采购需求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eastAsia="zh-CN"/>
        </w:rPr>
        <w:t>一、工程概况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1.工程地点：天津电力机车厂内。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2.工程内容：</w:t>
      </w:r>
      <w:r>
        <w:rPr>
          <w:rFonts w:hint="eastAsia"/>
          <w:kern w:val="2"/>
          <w:sz w:val="24"/>
          <w:szCs w:val="24"/>
          <w:highlight w:val="none"/>
          <w:lang w:val="en-US" w:eastAsia="zh-CN" w:bidi="ar-SA"/>
        </w:rPr>
        <w:t>采购档案密集柜（每列3组，共10列）1套，将原有密集柜整体挪移（每列3组，共10列）1套，对档案室增设防盗门、遮光窗帘、防盗窗等，具体见招标文件。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二、技术要求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1.施工单位技术人员在招标和施工前必须到现场复核尺寸，确认报价的准确性。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2.要使用指定的面漆颜色，各种材料要有出厂证明及合格证。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3.智能密集柜（新购）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3.1密集柜集电脑控制、电动、手动为一体。每列3组，共10列。每列液晶显示，美观大方，操作方便。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3.2分层网格管理，引导索取，条码支持。谐波减速，运行平稳无噪音。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3.3轨道选用20*20*2.5mm镀锌槽钢，共3条；底盘2.5mm热轧钢板；立板、搁板、分隔板、门框、门板均为1.0mm厚冷轧钢板。以上材料均为宝钢。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3.4所有金属制品采用静电喷塑处理，喷塑前应严格去油、除锈、磷化处理。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3.5底盘采用整体焊接，不变形，架体结实坚固，安装规范，层数和间距可自由调整，门面及侧面表面平整，设计美观。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3.6轴承、链条及附属配件全部采用优质产品。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4.智能密集柜（挪移）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4.1原有智能密集柜（3号楼档案室）挪移至（2号楼2117室）。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4.2挪移过程中应注意设备原件的保护，如有损坏，由相关方负责修复或更换。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4.3挪移完成后，应进行调试，保证正常使用需求。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5.墙面门洞凿除时，应做好防护措施；做好门洞的收口工作。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6.拆除下来的旧门配合甲方运至指定地点。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7.遮光窗帘、防盗门、防盗窗等采购前应与甲方沟通，经甲方确认后方可采购。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8.防水施工时应在墙面往上返300mm，按照正常施工工艺应满足涂刷三遍，施工完成后应进行闭水试验，待甲方认可后铺设地砖。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9.在运输、堆放、施工过程中应注意避免扬尘、遗撒、沾带等现象，应采取遮盖、封闭、洒水、冲洗等必要措施。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10.施工场地四周10米内严禁明火作业，严禁吸烟。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11.施工完成后的地面应做好成品保护。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12.施工产生的垃圾应清出厂外。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13.拆除时应注意原有设备设施的保护，如产生损坏应由施工方负责修复。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14.</w:t>
      </w:r>
      <w:r>
        <w:rPr>
          <w:rFonts w:hint="eastAsia" w:ascii="宋体" w:hAnsi="宋体" w:cs="宋体"/>
          <w:b/>
          <w:bCs/>
          <w:spacing w:val="-4"/>
          <w:sz w:val="24"/>
          <w:highlight w:val="none"/>
          <w:lang w:val="en-US" w:eastAsia="zh-CN"/>
        </w:rPr>
        <w:t>入厂施工人员须具有工伤保险或不低于保额100万的商业保险。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15.进入施工现场必须正确带好安全帽，系好下颚带；严禁穿拖鞋、高跟鞋进入施工现场；严禁酒后上班。</w:t>
      </w:r>
    </w:p>
    <w:p>
      <w:pPr>
        <w:spacing w:line="500" w:lineRule="exact"/>
        <w:rPr>
          <w:rFonts w:hint="eastAsia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16.施工质量要求及验收标准：工程质量验收应符合《建筑工程质量验收统一标准》相关要求。</w:t>
      </w:r>
    </w:p>
    <w:p>
      <w:pPr>
        <w:pStyle w:val="2"/>
        <w:rPr>
          <w:rFonts w:hint="eastAsia"/>
          <w:highlight w:val="none"/>
          <w:lang w:eastAsia="zh-CN"/>
        </w:rPr>
      </w:pPr>
      <w:r>
        <w:rPr>
          <w:rFonts w:hint="eastAsia"/>
          <w:highlight w:val="none"/>
          <w:lang w:eastAsia="zh-CN"/>
        </w:rPr>
        <w:t>三、工程量清单</w:t>
      </w:r>
    </w:p>
    <w:tbl>
      <w:tblPr>
        <w:tblStyle w:val="4"/>
        <w:tblpPr w:leftFromText="180" w:rightFromText="180" w:vertAnchor="text" w:horzAnchor="page" w:tblpX="1035" w:tblpY="172"/>
        <w:tblOverlap w:val="never"/>
        <w:tblW w:w="10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3570"/>
        <w:gridCol w:w="3300"/>
        <w:gridCol w:w="1170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名称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rPr>
                <w:rFonts w:hint="eastAsia"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技术规格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单位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Cs w:val="21"/>
                <w:highlight w:val="none"/>
              </w:rPr>
            </w:pPr>
            <w:r>
              <w:rPr>
                <w:rFonts w:hint="eastAsia" w:ascii="宋体" w:cs="宋体"/>
                <w:kern w:val="0"/>
                <w:szCs w:val="21"/>
                <w:highlight w:val="none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</w:rPr>
            </w:pPr>
            <w:r>
              <w:rPr>
                <w:sz w:val="24"/>
                <w:highlight w:val="none"/>
              </w:rPr>
              <w:t>1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 w:eastAsia="宋体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不锈钢防盗窗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尺寸：92.5cm×203cm</w:t>
            </w:r>
          </w:p>
          <w:p>
            <w:pPr>
              <w:snapToGrid w:val="0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中间管壁厚1.0mm，边框壁厚1.2mm，管间距18cm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尺寸：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142.5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cm×203cm</w:t>
            </w:r>
          </w:p>
          <w:p>
            <w:pPr>
              <w:pStyle w:val="2"/>
              <w:rPr>
                <w:rFonts w:hint="eastAsia" w:ascii="宋体" w:eastAsia="宋体" w:cs="宋体"/>
                <w:kern w:val="0"/>
                <w:highlight w:val="none"/>
                <w:lang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中间管壁厚1.0mm，边框壁厚1.2mm，管间距18cm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尺寸：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143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cm×203cm</w:t>
            </w:r>
          </w:p>
          <w:p>
            <w:pPr>
              <w:pStyle w:val="2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中间管壁厚1.0mm，边框壁厚1.2mm，管间距18cm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尺寸：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91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cm×203cm</w:t>
            </w:r>
          </w:p>
          <w:p>
            <w:pPr>
              <w:pStyle w:val="2"/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中间管壁厚1.0mm，边框壁厚1.2mm，管间距18cm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snapToGrid w:val="0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尺寸：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93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cm×203cm</w:t>
            </w:r>
          </w:p>
          <w:p>
            <w:pPr>
              <w:pStyle w:val="2"/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中间管壁厚1.0mm，边框壁厚1.2mm，管间距18cm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2</w:t>
            </w:r>
          </w:p>
        </w:tc>
        <w:tc>
          <w:tcPr>
            <w:tcW w:w="3570" w:type="dxa"/>
            <w:vMerge w:val="restart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遮光窗帘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窗户净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尺寸：203cm×92.5cm</w:t>
            </w:r>
          </w:p>
          <w:p>
            <w:pPr>
              <w:pStyle w:val="2"/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2.遮光度99%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窗户净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尺寸：203cm×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142.5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cm</w:t>
            </w:r>
          </w:p>
          <w:p>
            <w:pPr>
              <w:pStyle w:val="2"/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2.遮光度99%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窗户净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尺寸：203cm×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143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cm</w:t>
            </w:r>
          </w:p>
          <w:p>
            <w:pPr>
              <w:pStyle w:val="2"/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2.遮光度99%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窗户净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尺寸：203cm×9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cm</w:t>
            </w:r>
          </w:p>
          <w:p>
            <w:pPr>
              <w:pStyle w:val="2"/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2.遮光度99%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</w:p>
        </w:tc>
        <w:tc>
          <w:tcPr>
            <w:tcW w:w="3570" w:type="dxa"/>
            <w:vMerge w:val="continue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窗户净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尺寸：203cm×9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cm</w:t>
            </w:r>
          </w:p>
          <w:p>
            <w:pPr>
              <w:pStyle w:val="2"/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2.遮光度99%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3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不锈钢防盗屏蔽门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1.尺寸：2m×2.8m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2.开小门：0.9m×2.1m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中间管壁厚1.0mm，边框壁厚1.2mm，管间距18cm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4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防盗门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0.9m×2.1m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5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开设新门洞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0.9m×2.1m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6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原有门洞封堵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尺寸：0.9m×2.1m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空心砌块混凝土砌筑封堵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墙内外涂抹砂浆、刮腻子2遍，刷乳胶漆2遍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7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门禁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.电磁锁加装2套（每套含门禁卡各5张）。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2.RVV3*1.5mm²电源线40米。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3.声光报警器2个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4.PVC管35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项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8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地面重做防水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凿除原有地砖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涂刷聚氨酯防水涂料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水泥砂浆找平</w:t>
            </w:r>
          </w:p>
          <w:p>
            <w:p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4.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铺设新的地砖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m</w:t>
            </w:r>
            <w:r>
              <w:rPr>
                <w:rFonts w:hint="eastAsia" w:ascii="宋体" w:cs="宋体"/>
                <w:kern w:val="0"/>
                <w:sz w:val="24"/>
                <w:highlight w:val="none"/>
                <w:vertAlign w:val="superscript"/>
                <w:lang w:val="en-US" w:eastAsia="zh-CN"/>
              </w:rPr>
              <w:t>2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9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采购智能密集柜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1.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密集架集电脑控制、电动、手动为一体，每列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组，共10列。每列液晶显示，美观大方，操作方便。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2.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分层网络管理，引导索取，条码支持。谐波减速，运行平稳，无噪音。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3.轨道选用20*20*2.5mm镀锌槽钢，共3条；底盘2.5mm热轧钢板；立板、搁板、分隔板、门框、门板均为1.0mm冷轧钢板。以上材料产地均为宝钢。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4.所有金属制品采用静电喷塑处理，喷塑前经严格去油、除锈、麟化处理。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5.底盘采用整体焊接，不变形，架体结实坚固，安装规范，层数和间距可自由调整，门面及侧面表面平整，设计美观。</w:t>
            </w:r>
          </w:p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6.预埋导轨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6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val="en-US" w:eastAsia="zh-CN"/>
              </w:rPr>
            </w:pPr>
            <w:r>
              <w:rPr>
                <w:rFonts w:hint="eastAsia"/>
                <w:sz w:val="24"/>
                <w:highlight w:val="none"/>
                <w:lang w:val="en-US" w:eastAsia="zh-CN"/>
              </w:rPr>
              <w:t>10</w:t>
            </w:r>
          </w:p>
        </w:tc>
        <w:tc>
          <w:tcPr>
            <w:tcW w:w="3570" w:type="dxa"/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  <w:highlight w:val="none"/>
                <w:lang w:eastAsia="zh-CN"/>
              </w:rPr>
            </w:pPr>
            <w:r>
              <w:rPr>
                <w:rFonts w:hint="eastAsia"/>
                <w:sz w:val="24"/>
                <w:highlight w:val="none"/>
                <w:lang w:eastAsia="zh-CN"/>
              </w:rPr>
              <w:t>原有密集柜挪移</w:t>
            </w:r>
          </w:p>
        </w:tc>
        <w:tc>
          <w:tcPr>
            <w:tcW w:w="3300" w:type="dxa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rPr>
                <w:rFonts w:hint="eastAsia"/>
                <w:highlight w:val="none"/>
                <w:lang w:val="en-US" w:eastAsia="zh-CN"/>
              </w:rPr>
            </w:pPr>
            <w:r>
              <w:rPr>
                <w:rFonts w:hint="eastAsia"/>
                <w:highlight w:val="none"/>
                <w:lang w:val="en-US" w:eastAsia="zh-CN"/>
              </w:rPr>
              <w:t>尺寸：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每列</w:t>
            </w:r>
            <w:r>
              <w:rPr>
                <w:rFonts w:hint="eastAsia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3</w:t>
            </w:r>
            <w:r>
              <w:rPr>
                <w:rFonts w:hint="eastAsia" w:ascii="Calibri" w:hAnsi="Calibri" w:eastAsia="宋体" w:cs="Times New Roman"/>
                <w:kern w:val="2"/>
                <w:sz w:val="24"/>
                <w:szCs w:val="24"/>
                <w:highlight w:val="none"/>
                <w:lang w:val="en-US" w:eastAsia="zh-CN" w:bidi="ar-SA"/>
              </w:rPr>
              <w:t>组，共10列</w:t>
            </w:r>
          </w:p>
        </w:tc>
        <w:tc>
          <w:tcPr>
            <w:tcW w:w="117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32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4"/>
                <w:highlight w:val="none"/>
                <w:lang w:val="en-US" w:eastAsia="zh-CN"/>
              </w:rPr>
              <w:t>1</w:t>
            </w:r>
          </w:p>
        </w:tc>
      </w:tr>
    </w:tbl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四、相关服务要求结合</w:t>
      </w:r>
    </w:p>
    <w:p>
      <w:pPr>
        <w:spacing w:line="500" w:lineRule="exact"/>
        <w:rPr>
          <w:highlight w:val="none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本项目质保期为1年。</w:t>
      </w:r>
    </w:p>
    <w:p>
      <w:pPr>
        <w:spacing w:line="500" w:lineRule="exact"/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</w:pPr>
      <w:r>
        <w:rPr>
          <w:rFonts w:hint="eastAsia" w:ascii="宋体" w:hAnsi="宋体" w:cs="宋体"/>
          <w:spacing w:val="-4"/>
          <w:sz w:val="24"/>
          <w:highlight w:val="none"/>
          <w:lang w:val="en-US" w:eastAsia="zh-CN"/>
        </w:rPr>
        <w:t>五、付款方式</w:t>
      </w:r>
    </w:p>
    <w:p>
      <w:pPr>
        <w:pStyle w:val="2"/>
        <w:ind w:firstLine="480" w:firstLineChars="200"/>
        <w:rPr>
          <w:highlight w:val="none"/>
        </w:rPr>
      </w:pPr>
      <w:r>
        <w:rPr>
          <w:rFonts w:hint="eastAsia"/>
          <w:highlight w:val="none"/>
        </w:rPr>
        <w:t>工程竣工验收合格且竣工验收资料交发包方验证合格，并收到由承包人提供的增值税专用发票后，发包人向承包人办理工程价款结算，根据发包人资金情况付款。发包人可以采用电汇或汇票、云信、抹帐等非现金支付方式向承包人支付合同价款95%货款，向承包人交付汇票、云信等之日视为发包人已支付相应款项。余款5%留作质量保证金，买方在质量保证期届满后视卖方质量责任履行情况无息支付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95075"/>
    <w:multiLevelType w:val="singleLevel"/>
    <w:tmpl w:val="65F95075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F078DD"/>
    <w:rsid w:val="174323EE"/>
    <w:rsid w:val="2B8C7A34"/>
    <w:rsid w:val="356C3E85"/>
    <w:rsid w:val="69750741"/>
    <w:rsid w:val="6D9E2941"/>
    <w:rsid w:val="7174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120" w:beforeLines="0" w:after="120" w:afterLines="0" w:line="300" w:lineRule="auto"/>
      <w:jc w:val="center"/>
      <w:outlineLvl w:val="0"/>
    </w:pPr>
    <w:rPr>
      <w:b/>
      <w:bCs/>
      <w:kern w:val="44"/>
      <w:sz w:val="36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4"/>
    </w:rPr>
  </w:style>
  <w:style w:type="table" w:styleId="5">
    <w:name w:val="Table Grid"/>
    <w:basedOn w:val="4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Office_11.8.2.8721_F1E327BC-269C-435d-A152-05C5408002CA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2021-07-13T09:31:00Z</dcterms:created>
  <dc:creator>014700991614</dc:creator>
  <cp:lastModifiedBy>乔鹏飞</cp:lastModifiedBy>
  <dcterms:modified xsi:type="dcterms:W3CDTF">2024-04-04T07:41:11Z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