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服务要求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  技术要求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凡是本竞标文件未作说明和要求的部分则表明是标准的结构或配置，投标者应列出标准结构或配置的内容和项目并附详细说明。如果提供的服务与下述情况不符，投标方应申报偏差程度。执行标准、规范：津园科〔2008〕118号《天津城市园林绿化养护管理标准（试行）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  基本要求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2.1绿化养护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2.1.1绿化养护技术措施完善，植物配置合理，裸露土地不明显。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2.1.2 生长正常。各种植物2年内达到正常形态。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2.1.3 垂直绿化能根据不同植物的攀援特点，采取相应的技术措施，视攀援植物生长习性，覆盖率不得低于70%。开花的攀援植物能适时开花。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2.1.4 绿地整洁，无明显杂挂物。绿化生产垃圾（如树枝、树叶、草屑等）、绿地内杂物能日产日清，能做到保洁及时。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2.1.5 绿地完整，无明显堆物、堆料、搭棚、树干无钉拴刻划等现象。行道树下距树干2米范围内无明显的堆物、堆料、圈栏或搭棚设摊等影响树木生长和养护管理的现象。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2.1.6 负责非绿化区杂草清除，并在甲方指定填埋场所填埋。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2.2生活垃圾、环境卫生清理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2.2.1 负责收集暂存点的生活垃圾，将生活垃圾清运、存放到垃圾站指定位置。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2.2.2 负责厂区路面、绿化带及空地等区域进行清扫保洁工作。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  主要技术要求及参数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3.1绿化养护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3.1.1 生长正常。各种植物2年内达到正常形态。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3.1.2 园林树木树冠正常，修剪及时，无明显枯枝死叉。分枝点合适，枝条粗壮，行道树缺株率不超过1%，绿地内无死树。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3.1.3 落叶树新梢生长正常，叶片大小、颜色正常。正常条件下，黄叶、焦叶、卷叶和带虫粪、虫网叶片的株数不得超过10%，正常叶片保存率在85%以上。针叶树针叶宿存1年以上，结果枝条不超过50 %。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3.1.4 花坛、花带轮廓清晰、整齐美观，无残缺。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3.1.5 草坪及地被植物整齐一致，覆盖率90%以上。除缀花草坪外，草坪内杂草率不得超过5%。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草坪绿色期：冷季型草不得少于240天，暖季型草不得少于160天。</w:t>
      </w:r>
    </w:p>
    <w:p>
      <w:pPr>
        <w:pStyle w:val="5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 病虫害控制比较及时。园林树木有蛀干害虫危害的株数不得超过3%；园林树木主干、主枝上平均每100cm介壳虫的活虫数不得超过3头，较细枝条上平均每30cm不得超过8头，且平均被害株数不得超过5％。虫食叶片每株不得超过8%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3.1.7春、夏、秋季非绿化区杂草高度不得高于20cm，冬季清除干净，人行便道无杂草。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3.2生活垃圾、环境卫生清理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3.2.1合理安排生活垃圾装运时间，发现垃圾桶溢满，立即安排人员进行清运至垃圾站。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3.2.2生活垃圾暂存点及垃圾箱场地整洁，无撒落垃圾和堆积物，无积留污水。垃圾桶、垃圾箱无溢满、无积垢、无吊挂垃圾。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3.2.3垃圾桶摆放整齐，要清理垃圾桶周边垃圾，清扫地面，做到车走地净。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3.2.4密闭运输，运输过程中无垃圾扬、撒、拖挂和污水滴漏。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3.2.5清运车辆由乙方自备，车容应整洁，出车前检查车况，保持性能良好，同时遵守车辆厂内行驶相关规定。车体外部无污物、灰垢，标志清晰。清运作业后及时清洗车辆外表，保证车辆洁净，杜绝二次污染。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3.2.6严禁焚烧垃圾。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3.2.7作业人员每日对厂区路面、绿化带及空地等区域的生活垃圾、废弃物进行捡拾、清扫，保持厂区整体卫生干净整洁。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  商务要求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4.1 达不到园林植物养护技术规定或甲方要求的，甲方可发出整改书面通知书或口头通知。乙方5天内未整改的，甲方可扣除部分的费用，每延后一天，扣除合同款的0.5%。20天内未整改的，甲方有权终止协议。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  付款要求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在乙方按要求完成绿化养护、生活垃圾及环境卫生清理的前提下， 费用分两次支付。合同期至一半时，甲方在收到合同总费用50%的完税发票后6个月之内支给乙方合同总费用的50%。合同期满后，甲方在收到合同总费用50%的完税发票后6个月之内支付给乙方合同总费用的50%。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付款主要以票据、云信、汇款等方式支付。合同中价格为含税    %的价格，在合同履行期间若税率发生变化，合同价格以不含税价格不变为标准执行。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  项目明细</w:t>
      </w:r>
    </w:p>
    <w:p>
      <w:pPr>
        <w:pStyle w:val="3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6.1绿化养护</w:t>
      </w:r>
    </w:p>
    <w:tbl>
      <w:tblPr>
        <w:tblStyle w:val="6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85"/>
        <w:gridCol w:w="1035"/>
        <w:gridCol w:w="100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序号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名称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单位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数量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木槿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185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2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紫叶李、金枝槐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609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3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月季、龙栢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614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4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卫矛球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592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5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草坪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平米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53891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6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毛竹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33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7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龙爪槐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79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eastAsia="宋体"/>
                <w:color w:val="2121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8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白蜡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197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9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珍珠梅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280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10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绿篱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725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11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植草砖绿化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平米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16530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eastAsia="宋体"/>
                <w:color w:val="2121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12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移车台修剪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平米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21817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2" w:type="dxa"/>
            <w:noWrap w:val="0"/>
            <w:vAlign w:val="center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eastAsia="宋体"/>
                <w:color w:val="212121"/>
                <w:highlight w:val="none"/>
                <w:lang w:val="en-US" w:eastAsia="zh-CN"/>
              </w:rPr>
            </w:pPr>
            <w:r>
              <w:rPr>
                <w:rFonts w:hint="eastAsia"/>
                <w:color w:val="212121"/>
                <w:highlight w:val="none"/>
                <w:lang w:val="en-US" w:eastAsia="zh-CN"/>
              </w:rPr>
              <w:t>13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杂草清除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eastAsia="宋体"/>
                <w:color w:val="212121"/>
                <w:highlight w:val="none"/>
                <w:lang w:val="en-US" w:eastAsia="zh-CN"/>
              </w:rPr>
            </w:pPr>
            <w:r>
              <w:rPr>
                <w:rFonts w:hint="eastAsia"/>
                <w:color w:val="212121"/>
                <w:highlight w:val="none"/>
                <w:lang w:val="en-US" w:eastAsia="zh-CN"/>
              </w:rPr>
              <w:t>/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eastAsia="宋体"/>
                <w:color w:val="212121"/>
                <w:highlight w:val="none"/>
                <w:lang w:val="en-US" w:eastAsia="zh-CN"/>
              </w:rPr>
            </w:pPr>
            <w:r>
              <w:rPr>
                <w:rFonts w:hint="eastAsia"/>
                <w:color w:val="212121"/>
                <w:highlight w:val="none"/>
                <w:lang w:val="en-US" w:eastAsia="zh-CN"/>
              </w:rPr>
              <w:t>/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/>
                <w:color w:val="212121"/>
                <w:highlight w:val="none"/>
              </w:rPr>
            </w:pPr>
            <w:r>
              <w:rPr>
                <w:rFonts w:hint="eastAsia"/>
                <w:color w:val="212121"/>
                <w:highlight w:val="none"/>
              </w:rPr>
              <w:t>春、夏、秋季非绿化区杂草高度不得高于</w:t>
            </w:r>
            <w:r>
              <w:rPr>
                <w:rFonts w:hint="eastAsia"/>
                <w:color w:val="2121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212121"/>
                <w:highlight w:val="none"/>
              </w:rPr>
              <w:t>0cm，冬季清除干净</w:t>
            </w:r>
            <w:r>
              <w:rPr>
                <w:rFonts w:hint="eastAsia"/>
                <w:color w:val="2121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人行便道</w:t>
            </w:r>
            <w:r>
              <w:rPr>
                <w:rFonts w:hint="eastAsia"/>
                <w:sz w:val="24"/>
                <w:highlight w:val="none"/>
              </w:rPr>
              <w:t>无杂草</w:t>
            </w:r>
          </w:p>
        </w:tc>
      </w:tr>
    </w:tbl>
    <w:p>
      <w:pPr>
        <w:pStyle w:val="3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6.2生活垃圾、环境卫生清理</w:t>
      </w:r>
    </w:p>
    <w:tbl>
      <w:tblPr>
        <w:tblStyle w:val="6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85"/>
        <w:gridCol w:w="1035"/>
        <w:gridCol w:w="100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序号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名称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单位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数量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1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highlight w:val="none"/>
                <w:lang w:val="en-US" w:eastAsia="zh-CN"/>
              </w:rPr>
              <w:t>暂存点及垃圾桶生活垃圾清运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  <w:t>/天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  <w:t>2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办公楼区域及ABCD库各设置一个生活垃圾暂存点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2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</w:rPr>
              <w:t>2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  <w:t>厂区环境卫生清理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  <w:t>/天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highlight w:val="none"/>
                <w:lang w:val="en-US" w:eastAsia="zh-CN"/>
              </w:rPr>
              <w:t>人工清理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4A047083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2024-03-25T07:57:49Z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