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312" w:beforeLines="100" w:after="312" w:afterLines="100"/>
        <w:jc w:val="center"/>
        <w:outlineLvl w:val="1"/>
        <w:rPr>
          <w:rFonts w:ascii="仿宋_GB2312" w:eastAsia="仿宋_GB2312"/>
          <w:sz w:val="48"/>
        </w:rPr>
      </w:pPr>
      <w:bookmarkStart w:id="0" w:name="_Toc36816583"/>
      <w:r>
        <w:rPr>
          <w:rFonts w:hint="eastAsia" w:ascii="仿宋_GB2312" w:eastAsia="仿宋_GB2312"/>
          <w:sz w:val="48"/>
        </w:rPr>
        <w:t>招标公告</w:t>
      </w:r>
      <w:bookmarkEnd w:id="0"/>
      <w:bookmarkStart w:id="1" w:name="_GoBack"/>
      <w:bookmarkEnd w:id="1"/>
    </w:p>
    <w:p>
      <w:pPr>
        <w:pStyle w:val="12"/>
        <w:spacing w:line="500" w:lineRule="exact"/>
        <w:ind w:firstLine="560"/>
        <w:jc w:val="left"/>
        <w:rPr>
          <w:rFonts w:ascii="仿宋_GB2312" w:eastAsia="仿宋_GB2312"/>
          <w:sz w:val="28"/>
          <w:szCs w:val="28"/>
        </w:rPr>
      </w:pPr>
      <w:r>
        <w:rPr>
          <w:rFonts w:hint="eastAsia" w:ascii="仿宋_GB2312" w:eastAsia="仿宋_GB2312"/>
          <w:sz w:val="28"/>
          <w:szCs w:val="28"/>
        </w:rPr>
        <w:t>1.根据中车大连电力牵引研发中心有限公司（以下简称“大连电牵公司”）项目需求，决定对</w:t>
      </w:r>
      <w:r>
        <w:rPr>
          <w:rFonts w:hint="eastAsia" w:ascii="仿宋_GB2312" w:eastAsia="仿宋_GB2312"/>
          <w:b/>
          <w:sz w:val="28"/>
          <w:szCs w:val="28"/>
          <w:u w:val="single"/>
        </w:rPr>
        <w:t>A类电子板卡国产化技术开发</w:t>
      </w:r>
      <w:r>
        <w:rPr>
          <w:rFonts w:hint="eastAsia" w:ascii="仿宋_GB2312" w:eastAsia="仿宋_GB2312"/>
          <w:sz w:val="28"/>
          <w:szCs w:val="28"/>
        </w:rPr>
        <w:t>进行</w:t>
      </w:r>
      <w:r>
        <w:rPr>
          <w:rFonts w:hint="eastAsia" w:ascii="仿宋_GB2312" w:eastAsia="仿宋_GB2312"/>
          <w:b/>
          <w:color w:val="000000"/>
          <w:sz w:val="28"/>
          <w:szCs w:val="28"/>
          <w:u w:val="single"/>
        </w:rPr>
        <w:t>公开竞标</w:t>
      </w:r>
      <w:r>
        <w:rPr>
          <w:rFonts w:hint="eastAsia" w:ascii="仿宋_GB2312" w:eastAsia="仿宋_GB2312"/>
          <w:sz w:val="28"/>
          <w:szCs w:val="28"/>
        </w:rPr>
        <w:t>，现将有关事项公告如下：</w:t>
      </w:r>
    </w:p>
    <w:p>
      <w:pPr>
        <w:spacing w:line="500" w:lineRule="exact"/>
        <w:ind w:firstLine="560" w:firstLineChars="200"/>
        <w:jc w:val="left"/>
        <w:rPr>
          <w:rFonts w:hint="eastAsia" w:ascii="仿宋_GB2312" w:eastAsia="仿宋_GB2312"/>
          <w:sz w:val="24"/>
          <w:szCs w:val="28"/>
          <w:lang w:val="en-US" w:eastAsia="zh-CN"/>
        </w:rPr>
      </w:pPr>
      <w:r>
        <w:rPr>
          <w:rFonts w:hint="eastAsia" w:ascii="仿宋_GB2312" w:eastAsia="仿宋_GB2312"/>
          <w:sz w:val="28"/>
          <w:szCs w:val="28"/>
        </w:rPr>
        <w:t>2.招标编号：</w:t>
      </w:r>
      <w:r>
        <w:rPr>
          <w:rFonts w:hint="eastAsia" w:ascii="仿宋_GB2312" w:eastAsia="仿宋_GB2312"/>
          <w:sz w:val="28"/>
          <w:szCs w:val="28"/>
          <w:highlight w:val="none"/>
          <w:u w:val="single"/>
        </w:rPr>
        <w:t>ZB0220210</w:t>
      </w:r>
      <w:r>
        <w:rPr>
          <w:rFonts w:hint="eastAsia" w:ascii="仿宋_GB2312" w:eastAsia="仿宋_GB2312"/>
          <w:sz w:val="28"/>
          <w:szCs w:val="28"/>
          <w:highlight w:val="none"/>
          <w:u w:val="single"/>
          <w:lang w:val="en-US" w:eastAsia="zh-CN"/>
        </w:rPr>
        <w:t>91</w:t>
      </w:r>
    </w:p>
    <w:p>
      <w:pPr>
        <w:spacing w:line="500" w:lineRule="exact"/>
        <w:ind w:firstLine="560" w:firstLineChars="200"/>
        <w:jc w:val="left"/>
        <w:rPr>
          <w:rFonts w:ascii="仿宋_GB2312" w:eastAsia="仿宋_GB2312"/>
          <w:sz w:val="28"/>
          <w:szCs w:val="28"/>
          <w:u w:val="single"/>
        </w:rPr>
      </w:pPr>
      <w:r>
        <w:rPr>
          <w:rFonts w:hint="eastAsia" w:ascii="仿宋_GB2312" w:eastAsia="仿宋_GB2312"/>
          <w:sz w:val="28"/>
          <w:szCs w:val="28"/>
        </w:rPr>
        <w:t>3.本次招标</w:t>
      </w:r>
      <w:r>
        <w:rPr>
          <w:rFonts w:ascii="仿宋_GB2312" w:eastAsia="仿宋_GB2312"/>
          <w:sz w:val="28"/>
          <w:szCs w:val="28"/>
        </w:rPr>
        <w:t>共分</w:t>
      </w:r>
      <w:r>
        <w:rPr>
          <w:rFonts w:ascii="仿宋_GB2312" w:eastAsia="仿宋_GB2312"/>
          <w:sz w:val="28"/>
          <w:szCs w:val="28"/>
          <w:u w:val="single"/>
        </w:rPr>
        <w:t>1</w:t>
      </w:r>
      <w:r>
        <w:rPr>
          <w:rFonts w:hint="eastAsia" w:ascii="仿宋_GB2312" w:eastAsia="仿宋_GB2312"/>
          <w:sz w:val="28"/>
          <w:szCs w:val="28"/>
        </w:rPr>
        <w:t>个</w:t>
      </w:r>
      <w:r>
        <w:rPr>
          <w:rFonts w:ascii="仿宋_GB2312" w:eastAsia="仿宋_GB2312"/>
          <w:sz w:val="28"/>
          <w:szCs w:val="28"/>
        </w:rPr>
        <w:t>包</w:t>
      </w:r>
      <w:r>
        <w:rPr>
          <w:rFonts w:hint="eastAsia" w:ascii="仿宋_GB2312" w:eastAsia="仿宋_GB2312"/>
          <w:sz w:val="28"/>
          <w:szCs w:val="28"/>
        </w:rPr>
        <w:t>具体明细如下：</w:t>
      </w:r>
    </w:p>
    <w:p>
      <w:pPr>
        <w:spacing w:after="312" w:afterLines="100" w:line="500" w:lineRule="exact"/>
        <w:ind w:firstLine="560" w:firstLineChars="200"/>
        <w:jc w:val="left"/>
        <w:rPr>
          <w:rFonts w:ascii="仿宋_GB2312" w:eastAsia="仿宋_GB2312"/>
          <w:sz w:val="28"/>
          <w:szCs w:val="28"/>
          <w:u w:val="single"/>
        </w:rPr>
      </w:pPr>
      <w:r>
        <w:rPr>
          <w:rFonts w:hint="eastAsia" w:ascii="仿宋_GB2312" w:eastAsia="仿宋_GB2312"/>
          <w:sz w:val="28"/>
          <w:szCs w:val="28"/>
          <w:u w:val="single"/>
        </w:rPr>
        <w:t>3.1货物/服务一览表：</w:t>
      </w:r>
    </w:p>
    <w:p>
      <w:pPr>
        <w:pStyle w:val="3"/>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表 </w:t>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w:instrText>
      </w:r>
      <w:r>
        <w:rPr>
          <w:rFonts w:hint="eastAsia" w:asciiTheme="minorEastAsia" w:hAnsiTheme="minorEastAsia" w:eastAsiaTheme="minorEastAsia"/>
          <w:sz w:val="22"/>
          <w:szCs w:val="22"/>
        </w:rPr>
        <w:instrText xml:space="preserve">SEQ 表 \* ARABIC</w:instrText>
      </w:r>
      <w:r>
        <w:rPr>
          <w:rFonts w:asciiTheme="minorEastAsia" w:hAnsiTheme="minorEastAsia" w:eastAsiaTheme="minorEastAsia"/>
          <w:sz w:val="22"/>
          <w:szCs w:val="22"/>
        </w:rPr>
        <w:instrText xml:space="preserve">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w:t>
      </w:r>
      <w:r>
        <w:rPr>
          <w:rFonts w:asciiTheme="minorEastAsia" w:hAnsiTheme="minorEastAsia" w:eastAsiaTheme="minorEastAsia"/>
          <w:sz w:val="22"/>
          <w:szCs w:val="22"/>
        </w:rPr>
        <w:fldChar w:fldCharType="end"/>
      </w:r>
      <w:r>
        <w:rPr>
          <w:rFonts w:hint="eastAsia" w:asciiTheme="minorEastAsia" w:hAnsiTheme="minorEastAsia" w:eastAsiaTheme="minorEastAsia"/>
          <w:b/>
          <w:bCs/>
          <w:kern w:val="0"/>
          <w:sz w:val="22"/>
          <w:szCs w:val="24"/>
        </w:rPr>
        <w:t xml:space="preserve"> </w:t>
      </w:r>
      <w:r>
        <w:rPr>
          <w:rFonts w:asciiTheme="minorEastAsia" w:hAnsiTheme="minorEastAsia" w:eastAsiaTheme="minorEastAsia"/>
          <w:b/>
          <w:bCs/>
          <w:kern w:val="0"/>
          <w:sz w:val="22"/>
          <w:szCs w:val="24"/>
        </w:rPr>
        <w:t>A</w:t>
      </w:r>
      <w:r>
        <w:rPr>
          <w:rFonts w:hint="eastAsia" w:asciiTheme="minorEastAsia" w:hAnsiTheme="minorEastAsia" w:eastAsiaTheme="minorEastAsia"/>
          <w:b/>
          <w:bCs/>
          <w:kern w:val="0"/>
          <w:sz w:val="22"/>
          <w:szCs w:val="24"/>
        </w:rPr>
        <w:t>类电子板卡</w:t>
      </w:r>
      <w:r>
        <w:rPr>
          <w:rFonts w:asciiTheme="minorEastAsia" w:hAnsiTheme="minorEastAsia" w:eastAsiaTheme="minorEastAsia"/>
          <w:sz w:val="22"/>
          <w:szCs w:val="22"/>
        </w:rPr>
        <w:t>供货范围</w:t>
      </w:r>
    </w:p>
    <w:tbl>
      <w:tblPr>
        <w:tblStyle w:val="9"/>
        <w:tblW w:w="6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49"/>
        <w:gridCol w:w="851"/>
        <w:gridCol w:w="708"/>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序号</w:t>
            </w:r>
          </w:p>
        </w:tc>
        <w:tc>
          <w:tcPr>
            <w:tcW w:w="1049"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名称</w:t>
            </w:r>
          </w:p>
        </w:tc>
        <w:tc>
          <w:tcPr>
            <w:tcW w:w="851" w:type="dxa"/>
            <w:shd w:val="clear" w:color="auto" w:fill="D8D8D8" w:themeFill="background1" w:themeFillShade="D9"/>
            <w:vAlign w:val="center"/>
          </w:tcPr>
          <w:p>
            <w:pPr>
              <w:widowControl/>
              <w:jc w:val="center"/>
              <w:rPr>
                <w:rFonts w:asciiTheme="minorEastAsia" w:hAnsiTheme="minorEastAsia" w:eastAsiaTheme="minorEastAsia"/>
              </w:rPr>
            </w:pPr>
            <w:r>
              <w:rPr>
                <w:rFonts w:asciiTheme="minorEastAsia" w:hAnsiTheme="minorEastAsia" w:eastAsiaTheme="minorEastAsia"/>
                <w:kern w:val="0"/>
                <w:szCs w:val="21"/>
              </w:rPr>
              <w:t>单位</w:t>
            </w:r>
          </w:p>
        </w:tc>
        <w:tc>
          <w:tcPr>
            <w:tcW w:w="708"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所属系统</w:t>
            </w:r>
          </w:p>
        </w:tc>
        <w:tc>
          <w:tcPr>
            <w:tcW w:w="2833"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提供主要技术资料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kern w:val="0"/>
                <w:szCs w:val="21"/>
              </w:rPr>
            </w:pPr>
            <w:r>
              <w:rPr>
                <w:rFonts w:eastAsia="等线" w:cs="Calibri"/>
                <w:color w:val="000000"/>
                <w:szCs w:val="21"/>
              </w:rPr>
              <w:t>1</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A1</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2</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A2</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3</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A3</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4</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A4</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5</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A11</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6</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A12</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7</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A13</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8</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A14</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9</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A17</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10</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A18</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11</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A23</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12</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A25</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eastAsia="等线" w:cs="Calibri"/>
                <w:color w:val="000000"/>
                <w:szCs w:val="21"/>
              </w:rPr>
            </w:pPr>
            <w:r>
              <w:rPr>
                <w:rFonts w:hint="eastAsia" w:eastAsia="等线" w:cs="Calibri"/>
                <w:color w:val="000000"/>
                <w:szCs w:val="21"/>
              </w:rPr>
              <w:t>1</w:t>
            </w:r>
            <w:r>
              <w:rPr>
                <w:rFonts w:eastAsia="等线" w:cs="Calibri"/>
                <w:color w:val="000000"/>
                <w:szCs w:val="21"/>
              </w:rPr>
              <w:t>3</w:t>
            </w:r>
          </w:p>
        </w:tc>
        <w:tc>
          <w:tcPr>
            <w:tcW w:w="1049" w:type="dxa"/>
            <w:vAlign w:val="center"/>
          </w:tcPr>
          <w:p>
            <w:pPr>
              <w:widowControl/>
              <w:jc w:val="center"/>
              <w:rPr>
                <w:rFonts w:eastAsia="等线" w:cs="Calibri"/>
                <w:color w:val="000000"/>
                <w:szCs w:val="21"/>
              </w:rPr>
            </w:pPr>
            <w:r>
              <w:rPr>
                <w:rFonts w:eastAsia="等线" w:cs="Calibri"/>
                <w:color w:val="000000"/>
                <w:szCs w:val="21"/>
              </w:rPr>
              <w:t>A26</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eastAsia="等线" w:cs="Calibri"/>
                <w:color w:val="000000"/>
                <w:szCs w:val="21"/>
              </w:rPr>
            </w:pPr>
            <w:r>
              <w:rPr>
                <w:rFonts w:hint="eastAsia" w:eastAsia="等线" w:cs="Calibri"/>
                <w:color w:val="000000"/>
                <w:szCs w:val="21"/>
              </w:rPr>
              <w:t>A类系统</w:t>
            </w:r>
          </w:p>
        </w:tc>
        <w:tc>
          <w:tcPr>
            <w:tcW w:w="2833" w:type="dxa"/>
            <w:vAlign w:val="center"/>
          </w:tcPr>
          <w:p>
            <w:pPr>
              <w:widowControl/>
              <w:jc w:val="center"/>
              <w:rPr>
                <w:color w:val="000000"/>
                <w:szCs w:val="21"/>
              </w:rPr>
            </w:pPr>
            <w:r>
              <w:rPr>
                <w:rFonts w:hint="eastAsia"/>
                <w:color w:val="000000"/>
                <w:szCs w:val="21"/>
              </w:rPr>
              <w:t>硬件、BOM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14</w:t>
            </w:r>
          </w:p>
        </w:tc>
        <w:tc>
          <w:tcPr>
            <w:tcW w:w="1049" w:type="dxa"/>
            <w:vAlign w:val="center"/>
          </w:tcPr>
          <w:p>
            <w:pPr>
              <w:widowControl/>
              <w:jc w:val="center"/>
              <w:rPr>
                <w:rFonts w:ascii="等线" w:hAnsi="等线" w:eastAsia="等线"/>
                <w:color w:val="000000"/>
                <w:sz w:val="22"/>
              </w:rPr>
            </w:pPr>
            <w:r>
              <w:rPr>
                <w:rFonts w:eastAsia="等线" w:cs="Calibri"/>
                <w:color w:val="000000"/>
                <w:szCs w:val="21"/>
              </w:rPr>
              <w:t>A29</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A类系统</w:t>
            </w:r>
          </w:p>
        </w:tc>
        <w:tc>
          <w:tcPr>
            <w:tcW w:w="2833" w:type="dxa"/>
            <w:vAlign w:val="center"/>
          </w:tcPr>
          <w:p>
            <w:pPr>
              <w:widowControl/>
              <w:jc w:val="center"/>
              <w:rPr>
                <w:rFonts w:ascii="等线" w:hAnsi="等线" w:eastAsia="等线"/>
                <w:color w:val="000000"/>
                <w:sz w:val="22"/>
              </w:rPr>
            </w:pPr>
            <w:r>
              <w:rPr>
                <w:rFonts w:hint="eastAsia"/>
                <w:color w:val="000000"/>
                <w:szCs w:val="21"/>
              </w:rPr>
              <w:t>硬件、BOM</w:t>
            </w:r>
          </w:p>
        </w:tc>
      </w:tr>
    </w:tbl>
    <w:p>
      <w:pPr>
        <w:rPr>
          <w:rFonts w:hint="eastAsia"/>
        </w:rPr>
      </w:pP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3.2报价有效期：</w:t>
      </w:r>
      <w:r>
        <w:rPr>
          <w:rFonts w:hint="eastAsia" w:ascii="仿宋_GB2312" w:eastAsia="仿宋_GB2312"/>
          <w:sz w:val="28"/>
          <w:szCs w:val="28"/>
          <w:u w:val="single"/>
        </w:rPr>
        <w:t>投标报价有效期370个日历日</w:t>
      </w:r>
      <w:r>
        <w:rPr>
          <w:rFonts w:hint="eastAsia" w:ascii="仿宋_GB2312" w:eastAsia="仿宋_GB2312"/>
          <w:sz w:val="28"/>
          <w:szCs w:val="28"/>
        </w:rPr>
        <w:t>。</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3.3所有产品交付期：</w:t>
      </w:r>
      <w:r>
        <w:rPr>
          <w:rFonts w:hint="eastAsia" w:ascii="仿宋_GB2312" w:eastAsia="仿宋_GB2312"/>
          <w:sz w:val="28"/>
          <w:szCs w:val="28"/>
          <w:u w:val="single"/>
        </w:rPr>
        <w:t>交付内容，参见《电子板卡国产化采购技术规范》，交付期为合同签订后一年内。</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3.4供货要求：</w:t>
      </w:r>
    </w:p>
    <w:p>
      <w:pPr>
        <w:snapToGrid w:val="0"/>
        <w:spacing w:line="500" w:lineRule="exact"/>
        <w:ind w:firstLine="490" w:firstLineChars="175"/>
        <w:rPr>
          <w:rFonts w:ascii="仿宋_GB2312" w:eastAsia="仿宋_GB2312"/>
          <w:sz w:val="28"/>
          <w:szCs w:val="28"/>
          <w:u w:val="single"/>
        </w:rPr>
      </w:pPr>
      <w:r>
        <w:rPr>
          <w:rFonts w:hint="eastAsia" w:ascii="仿宋_GB2312" w:eastAsia="仿宋_GB2312"/>
          <w:sz w:val="28"/>
          <w:szCs w:val="28"/>
          <w:u w:val="single"/>
        </w:rPr>
        <w:t>技术开发工作内容，参见《电子板卡国产化采购技术规范》。</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.投标人资</w:t>
      </w:r>
      <w:r>
        <w:rPr>
          <w:rFonts w:hint="eastAsia" w:ascii="仿宋_GB2312" w:eastAsia="仿宋_GB2312"/>
          <w:sz w:val="28"/>
          <w:szCs w:val="28"/>
        </w:rPr>
        <w:t>质</w:t>
      </w:r>
      <w:r>
        <w:rPr>
          <w:rFonts w:ascii="仿宋_GB2312" w:eastAsia="仿宋_GB2312"/>
          <w:sz w:val="28"/>
          <w:szCs w:val="28"/>
        </w:rPr>
        <w:t>要求：</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投标人必须具有合法的经营资质、</w:t>
      </w:r>
      <w:r>
        <w:rPr>
          <w:rFonts w:ascii="仿宋_GB2312" w:eastAsia="仿宋_GB2312"/>
          <w:sz w:val="28"/>
          <w:szCs w:val="28"/>
        </w:rPr>
        <w:t>较高</w:t>
      </w:r>
      <w:r>
        <w:rPr>
          <w:rFonts w:hint="eastAsia" w:ascii="仿宋_GB2312" w:eastAsia="仿宋_GB2312"/>
          <w:sz w:val="28"/>
          <w:szCs w:val="28"/>
        </w:rPr>
        <w:t>的业务能力、</w:t>
      </w:r>
      <w:r>
        <w:rPr>
          <w:rFonts w:ascii="仿宋_GB2312" w:eastAsia="仿宋_GB2312"/>
          <w:sz w:val="28"/>
          <w:szCs w:val="28"/>
        </w:rPr>
        <w:t>良好</w:t>
      </w:r>
      <w:r>
        <w:rPr>
          <w:rFonts w:hint="eastAsia" w:ascii="仿宋_GB2312" w:eastAsia="仿宋_GB2312"/>
          <w:sz w:val="28"/>
          <w:szCs w:val="28"/>
        </w:rPr>
        <w:t>的信誉和完善的服务。投标人须提供如下资质证明。</w:t>
      </w:r>
    </w:p>
    <w:p>
      <w:pPr>
        <w:numPr>
          <w:ilvl w:val="0"/>
          <w:numId w:val="1"/>
        </w:numPr>
        <w:snapToGrid w:val="0"/>
        <w:spacing w:line="500" w:lineRule="exact"/>
        <w:rPr>
          <w:rFonts w:ascii="仿宋_GB2312" w:eastAsia="仿宋_GB2312"/>
          <w:sz w:val="28"/>
          <w:szCs w:val="28"/>
        </w:rPr>
      </w:pPr>
      <w:r>
        <w:rPr>
          <w:rFonts w:hint="eastAsia" w:ascii="仿宋_GB2312" w:eastAsia="仿宋_GB2312"/>
          <w:sz w:val="28"/>
          <w:szCs w:val="28"/>
        </w:rPr>
        <w:t>投标人营业执照中的经营范围应与招标范围相符合，若投标方为企业类型，则需为在中国境内注册的独立企业法人；</w:t>
      </w:r>
    </w:p>
    <w:p>
      <w:pPr>
        <w:numPr>
          <w:ilvl w:val="0"/>
          <w:numId w:val="1"/>
        </w:numPr>
        <w:snapToGrid w:val="0"/>
        <w:spacing w:line="500" w:lineRule="exact"/>
        <w:rPr>
          <w:rFonts w:ascii="仿宋_GB2312" w:eastAsia="仿宋_GB2312"/>
          <w:sz w:val="28"/>
          <w:szCs w:val="28"/>
        </w:rPr>
      </w:pPr>
      <w:r>
        <w:rPr>
          <w:rFonts w:hint="eastAsia" w:ascii="仿宋_GB2312" w:eastAsia="仿宋_GB2312"/>
          <w:sz w:val="28"/>
          <w:szCs w:val="28"/>
        </w:rPr>
        <w:t>投标人应具备本次招标所需求相关产品开发实施业绩（非资质证明必备项，如具备该项则为开标加分项）。</w:t>
      </w:r>
    </w:p>
    <w:p>
      <w:pPr>
        <w:snapToGrid w:val="0"/>
        <w:spacing w:line="500" w:lineRule="exact"/>
        <w:ind w:left="420"/>
        <w:rPr>
          <w:rFonts w:ascii="仿宋_GB2312" w:eastAsia="仿宋_GB2312"/>
          <w:sz w:val="28"/>
          <w:szCs w:val="28"/>
        </w:rPr>
      </w:pPr>
      <w:r>
        <w:rPr>
          <w:rFonts w:hint="eastAsia" w:ascii="仿宋_GB2312" w:eastAsia="仿宋_GB2312"/>
          <w:b/>
          <w:bCs/>
          <w:sz w:val="28"/>
          <w:szCs w:val="28"/>
        </w:rPr>
        <w:t>投标人需在此公告发布3日内，将上述资质要求相关证明材料发至中车大连电力牵引研发中心有限公司招标办公室（邮箱附后）进行资质预审，审核通过后将完整招标文件发回至</w:t>
      </w:r>
      <w:r>
        <w:rPr>
          <w:rFonts w:hint="eastAsia" w:ascii="仿宋_GB2312" w:eastAsia="仿宋_GB2312"/>
          <w:b/>
          <w:bCs/>
          <w:sz w:val="28"/>
          <w:szCs w:val="28"/>
          <w:lang w:val="en-US" w:eastAsia="zh-CN"/>
        </w:rPr>
        <w:t>投</w:t>
      </w:r>
      <w:r>
        <w:rPr>
          <w:rFonts w:hint="eastAsia" w:ascii="仿宋_GB2312" w:eastAsia="仿宋_GB2312"/>
          <w:b/>
          <w:bCs/>
          <w:sz w:val="28"/>
          <w:szCs w:val="28"/>
        </w:rPr>
        <w:t>标人进行投标文件编写工作。</w:t>
      </w:r>
    </w:p>
    <w:p>
      <w:pPr>
        <w:snapToGrid w:val="0"/>
        <w:spacing w:line="500" w:lineRule="exact"/>
        <w:ind w:left="42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招标公告发布时间：</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发布时间：</w:t>
      </w:r>
      <w:r>
        <w:rPr>
          <w:rFonts w:hint="eastAsia" w:ascii="仿宋_GB2312" w:eastAsia="仿宋_GB2312"/>
          <w:sz w:val="28"/>
          <w:szCs w:val="28"/>
          <w:u w:val="single"/>
        </w:rPr>
        <w:t>202</w:t>
      </w:r>
      <w:r>
        <w:rPr>
          <w:rFonts w:ascii="仿宋_GB2312" w:eastAsia="仿宋_GB2312"/>
          <w:sz w:val="28"/>
          <w:szCs w:val="28"/>
          <w:u w:val="single"/>
        </w:rPr>
        <w:t>1</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12</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6</w:t>
      </w:r>
      <w:r>
        <w:rPr>
          <w:rFonts w:hint="eastAsia" w:ascii="仿宋_GB2312" w:eastAsia="仿宋_GB2312"/>
          <w:sz w:val="28"/>
          <w:szCs w:val="28"/>
          <w:u w:val="single"/>
        </w:rPr>
        <w:t>日</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6.发布公告的媒体：</w:t>
      </w:r>
    </w:p>
    <w:p>
      <w:pPr>
        <w:snapToGrid w:val="0"/>
        <w:spacing w:line="500" w:lineRule="exact"/>
        <w:ind w:firstLine="560" w:firstLineChars="200"/>
        <w:rPr>
          <w:rFonts w:ascii="仿宋_GB2312" w:eastAsia="仿宋_GB2312"/>
          <w:sz w:val="28"/>
          <w:szCs w:val="28"/>
        </w:rPr>
      </w:pPr>
      <w:r>
        <w:rPr>
          <w:rFonts w:ascii="仿宋_GB2312" w:eastAsia="仿宋_GB2312"/>
          <w:sz w:val="28"/>
          <w:szCs w:val="28"/>
        </w:rPr>
        <w:t>本公告</w:t>
      </w:r>
      <w:r>
        <w:rPr>
          <w:rFonts w:hint="eastAsia" w:ascii="仿宋_GB2312" w:eastAsia="仿宋_GB2312"/>
          <w:sz w:val="28"/>
          <w:szCs w:val="28"/>
        </w:rPr>
        <w:t>将在中国中车大连电力牵引研发中心有限公司官方网站平台发布</w:t>
      </w:r>
      <w:r>
        <w:rPr>
          <w:rFonts w:ascii="仿宋_GB2312" w:eastAsia="仿宋_GB2312"/>
          <w:sz w:val="28"/>
          <w:szCs w:val="28"/>
        </w:rPr>
        <w:t>，如有更改</w:t>
      </w:r>
      <w:r>
        <w:rPr>
          <w:rFonts w:hint="eastAsia" w:ascii="仿宋_GB2312" w:eastAsia="仿宋_GB2312"/>
          <w:sz w:val="28"/>
          <w:szCs w:val="28"/>
        </w:rPr>
        <w:t>，更改信息将在中国中车大连电力牵引研发中心有限公司官方网站发布（任何其它网站的信息均无效）</w:t>
      </w:r>
      <w:r>
        <w:rPr>
          <w:rFonts w:ascii="仿宋_GB2312" w:eastAsia="仿宋_GB2312"/>
          <w:sz w:val="28"/>
          <w:szCs w:val="28"/>
        </w:rPr>
        <w:t>。</w:t>
      </w:r>
    </w:p>
    <w:p>
      <w:pPr>
        <w:snapToGrid w:val="0"/>
        <w:spacing w:line="500" w:lineRule="exact"/>
        <w:ind w:firstLine="560" w:firstLineChars="200"/>
        <w:rPr>
          <w:rFonts w:ascii="仿宋_GB2312" w:eastAsia="仿宋_GB2312"/>
          <w:sz w:val="28"/>
          <w:szCs w:val="28"/>
        </w:rPr>
      </w:pPr>
    </w:p>
    <w:p>
      <w:pPr>
        <w:adjustRightInd w:val="0"/>
        <w:snapToGrid w:val="0"/>
        <w:spacing w:line="500" w:lineRule="exact"/>
        <w:jc w:val="left"/>
        <w:rPr>
          <w:rStyle w:val="11"/>
          <w:rFonts w:ascii="宋体" w:hAnsi="宋体"/>
          <w:sz w:val="28"/>
        </w:rPr>
      </w:pPr>
      <w:r>
        <w:rPr>
          <w:rFonts w:hint="eastAsia" w:ascii="仿宋_GB2312" w:eastAsia="仿宋_GB2312"/>
          <w:sz w:val="28"/>
          <w:szCs w:val="28"/>
        </w:rPr>
        <w:t>中国中车大连电力牵引研发中心有限公司官网：</w:t>
      </w:r>
      <w:r>
        <w:rPr>
          <w:rStyle w:val="11"/>
          <w:rFonts w:hint="eastAsia" w:ascii="宋体" w:hAnsi="宋体"/>
          <w:sz w:val="28"/>
        </w:rPr>
        <w:t>https://www.crrcgc.cc/dldq</w:t>
      </w:r>
    </w:p>
    <w:p>
      <w:pPr>
        <w:pStyle w:val="8"/>
        <w:outlineLvl w:val="1"/>
        <w:rPr>
          <w:rFonts w:ascii="仿宋_GB2312" w:eastAsia="仿宋_GB2312"/>
          <w:sz w:val="28"/>
          <w:szCs w:val="28"/>
        </w:rPr>
      </w:pP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中车大连电力牵引研发中心有限公司招标办公室联系方式：</w:t>
      </w: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联系人：陈阳</w:t>
      </w: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邮箱：</w:t>
      </w:r>
      <w:r>
        <w:fldChar w:fldCharType="begin"/>
      </w:r>
      <w:r>
        <w:instrText xml:space="preserve"> HYPERLINK "mailto:chenyang.dq@crrcgc.cc" </w:instrText>
      </w:r>
      <w:r>
        <w:fldChar w:fldCharType="separate"/>
      </w:r>
      <w:r>
        <w:rPr>
          <w:rStyle w:val="11"/>
          <w:rFonts w:hint="eastAsia" w:ascii="仿宋_GB2312" w:eastAsia="仿宋_GB2312"/>
          <w:b w:val="0"/>
          <w:bCs/>
          <w:sz w:val="28"/>
          <w:szCs w:val="28"/>
        </w:rPr>
        <w:t>chenyang.dq@crrcgc.cc</w:t>
      </w:r>
      <w:r>
        <w:rPr>
          <w:rStyle w:val="11"/>
          <w:rFonts w:hint="eastAsia" w:ascii="仿宋_GB2312" w:eastAsia="仿宋_GB2312"/>
          <w:b w:val="0"/>
          <w:bCs/>
          <w:sz w:val="28"/>
          <w:szCs w:val="28"/>
        </w:rPr>
        <w:fldChar w:fldCharType="end"/>
      </w: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联系方式;0411-62685200-8972</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A8A"/>
    <w:multiLevelType w:val="multilevel"/>
    <w:tmpl w:val="653B4A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65EE9"/>
    <w:rsid w:val="01194C8C"/>
    <w:rsid w:val="057E7B2E"/>
    <w:rsid w:val="05972F64"/>
    <w:rsid w:val="082C64E7"/>
    <w:rsid w:val="098D0C00"/>
    <w:rsid w:val="0AC25AFD"/>
    <w:rsid w:val="12671788"/>
    <w:rsid w:val="13266CA5"/>
    <w:rsid w:val="14F07297"/>
    <w:rsid w:val="165D6CFC"/>
    <w:rsid w:val="19456F04"/>
    <w:rsid w:val="1A8F481E"/>
    <w:rsid w:val="236B303C"/>
    <w:rsid w:val="28214FED"/>
    <w:rsid w:val="29565EE9"/>
    <w:rsid w:val="2A421D20"/>
    <w:rsid w:val="2B2E588A"/>
    <w:rsid w:val="2DA05487"/>
    <w:rsid w:val="2F6B09EE"/>
    <w:rsid w:val="39D40C19"/>
    <w:rsid w:val="3ABB1C10"/>
    <w:rsid w:val="3F473BB6"/>
    <w:rsid w:val="40B60DF0"/>
    <w:rsid w:val="411A4C5C"/>
    <w:rsid w:val="415C550A"/>
    <w:rsid w:val="42EC75AF"/>
    <w:rsid w:val="450120C3"/>
    <w:rsid w:val="45C12196"/>
    <w:rsid w:val="4752574C"/>
    <w:rsid w:val="49742987"/>
    <w:rsid w:val="4B304EE3"/>
    <w:rsid w:val="4B3C414A"/>
    <w:rsid w:val="4DAD67B3"/>
    <w:rsid w:val="4FD9338E"/>
    <w:rsid w:val="56AD6611"/>
    <w:rsid w:val="5C8F7AF8"/>
    <w:rsid w:val="5ECC1FEE"/>
    <w:rsid w:val="611251BD"/>
    <w:rsid w:val="62BF20EA"/>
    <w:rsid w:val="6B680FBF"/>
    <w:rsid w:val="73BC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24"/>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caption"/>
    <w:basedOn w:val="1"/>
    <w:next w:val="1"/>
    <w:qFormat/>
    <w:uiPriority w:val="0"/>
    <w:rPr>
      <w:rFonts w:ascii="Cambria" w:hAnsi="Cambria" w:eastAsia="黑体"/>
      <w:sz w:val="20"/>
      <w:szCs w:val="20"/>
    </w:rPr>
  </w:style>
  <w:style w:type="paragraph" w:styleId="4">
    <w:name w:val="toc 3"/>
    <w:basedOn w:val="1"/>
    <w:next w:val="1"/>
    <w:qFormat/>
    <w:uiPriority w:val="39"/>
    <w:pPr>
      <w:ind w:left="840" w:leftChars="400"/>
    </w:p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tabs>
        <w:tab w:val="right" w:leader="dot" w:pos="8296"/>
      </w:tabs>
      <w:ind w:left="1"/>
    </w:pPr>
    <w:rPr>
      <w:rFonts w:ascii="仿宋_GB2312" w:eastAsia="仿宋_GB2312"/>
      <w:sz w:val="28"/>
      <w:szCs w:val="28"/>
    </w:rPr>
  </w:style>
  <w:style w:type="paragraph" w:styleId="8">
    <w:name w:val="Title"/>
    <w:basedOn w:val="1"/>
    <w:qFormat/>
    <w:uiPriority w:val="0"/>
    <w:pPr>
      <w:jc w:val="center"/>
    </w:pPr>
    <w:rPr>
      <w:b/>
      <w:sz w:val="32"/>
    </w:rPr>
  </w:style>
  <w:style w:type="character" w:styleId="11">
    <w:name w:val="Hyperlink"/>
    <w:qFormat/>
    <w:uiPriority w:val="99"/>
    <w:rPr>
      <w:color w:val="0000FF"/>
      <w:u w:val="single"/>
    </w:rPr>
  </w:style>
  <w:style w:type="paragraph" w:customStyle="1" w:styleId="12">
    <w:name w:val="列表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2021-12-03T03:46:00Z</dcterms:created>
  <dc:creator>殷智璇</dc:creator>
  <cp:lastModifiedBy>李璐</cp:lastModifiedBy>
  <dcterms:modified xsi:type="dcterms:W3CDTF">2021-12-03T07:25:46Z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